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spacing w:before="0" w:after="0"/>
        <w:ind w:firstLine="0"/>
        <w:rPr>
          <w:rFonts w:ascii="华文仿宋" w:eastAsia="华文仿宋"/>
        </w:rPr>
      </w:pPr>
      <w:bookmarkStart w:id="0" w:name="_Toc307825171"/>
    </w:p>
    <w:p>
      <w:pPr>
        <w:pStyle w:val="61"/>
        <w:ind w:firstLine="0"/>
        <w:rPr>
          <w:rFonts w:ascii="华文仿宋" w:eastAsia="华文仿宋"/>
          <w:b/>
          <w:bCs/>
          <w:sz w:val="28"/>
          <w:szCs w:val="28"/>
          <w:u w:val="single"/>
        </w:rPr>
      </w:pPr>
    </w:p>
    <w:p>
      <w:pPr>
        <w:pStyle w:val="61"/>
        <w:ind w:firstLine="0"/>
        <w:jc w:val="center"/>
        <w:rPr>
          <w:rFonts w:ascii="华文仿宋" w:eastAsia="华文仿宋"/>
          <w:b/>
          <w:bCs/>
          <w:sz w:val="28"/>
          <w:szCs w:val="28"/>
          <w:u w:val="single"/>
        </w:rPr>
      </w:pPr>
    </w:p>
    <w:p>
      <w:pPr>
        <w:pStyle w:val="61"/>
        <w:ind w:firstLine="0"/>
        <w:jc w:val="center"/>
        <w:rPr>
          <w:rFonts w:ascii="宋体"/>
          <w:b/>
          <w:bCs/>
          <w:sz w:val="72"/>
          <w:szCs w:val="72"/>
        </w:rPr>
      </w:pPr>
      <w:r>
        <w:rPr>
          <w:rFonts w:hint="eastAsia" w:ascii="宋体"/>
          <w:b/>
          <w:bCs/>
          <w:sz w:val="72"/>
          <w:szCs w:val="72"/>
        </w:rPr>
        <w:t>竞争性谈判文件</w:t>
      </w:r>
    </w:p>
    <w:p>
      <w:pPr>
        <w:pStyle w:val="61"/>
        <w:ind w:firstLine="0"/>
        <w:jc w:val="center"/>
        <w:rPr>
          <w:rFonts w:ascii="华文仿宋" w:eastAsia="华文仿宋"/>
          <w:b/>
          <w:bCs/>
          <w:sz w:val="32"/>
        </w:rPr>
      </w:pPr>
    </w:p>
    <w:p>
      <w:pPr>
        <w:pStyle w:val="61"/>
        <w:spacing w:after="290"/>
        <w:ind w:right="-407" w:rightChars="-194" w:firstLine="0"/>
        <w:jc w:val="center"/>
        <w:rPr>
          <w:rFonts w:ascii="宋体"/>
          <w:b/>
          <w:bCs/>
          <w:sz w:val="32"/>
          <w:szCs w:val="32"/>
        </w:rPr>
      </w:pPr>
      <w:r>
        <w:rPr>
          <w:rFonts w:hint="eastAsia" w:ascii="宋体"/>
          <w:b/>
          <w:bCs/>
          <w:sz w:val="32"/>
          <w:szCs w:val="32"/>
        </w:rPr>
        <w:t>项目名称：通信云服务中心技能鉴定资源</w:t>
      </w:r>
    </w:p>
    <w:p>
      <w:pPr>
        <w:pStyle w:val="61"/>
        <w:ind w:firstLine="1590" w:firstLineChars="495"/>
        <w:jc w:val="both"/>
        <w:rPr>
          <w:rFonts w:hint="eastAsia" w:ascii="宋体" w:eastAsia="宋体"/>
          <w:b/>
          <w:bCs/>
          <w:sz w:val="32"/>
          <w:szCs w:val="32"/>
          <w:lang w:val="en-US" w:eastAsia="zh-CN"/>
        </w:rPr>
      </w:pPr>
      <w:r>
        <w:rPr>
          <w:rFonts w:hint="eastAsia" w:ascii="宋体"/>
          <w:b/>
          <w:bCs/>
          <w:sz w:val="32"/>
          <w:szCs w:val="32"/>
        </w:rPr>
        <w:t xml:space="preserve">        项目编号:NJCIT-201815</w:t>
      </w:r>
      <w:r>
        <w:rPr>
          <w:rFonts w:hint="eastAsia" w:ascii="宋体"/>
          <w:b/>
          <w:bCs/>
          <w:sz w:val="32"/>
          <w:szCs w:val="32"/>
          <w:lang w:val="en-US" w:eastAsia="zh-CN"/>
        </w:rPr>
        <w:t>8</w:t>
      </w:r>
    </w:p>
    <w:p>
      <w:pPr>
        <w:pStyle w:val="61"/>
        <w:spacing w:before="0" w:after="0"/>
        <w:ind w:firstLine="0"/>
        <w:rPr>
          <w:rFonts w:ascii="华文仿宋" w:eastAsia="华文仿宋"/>
        </w:rPr>
      </w:pPr>
      <w:r>
        <w:rPr>
          <w:rFonts w:hint="eastAsia" w:ascii="华文仿宋" w:eastAsia="华文仿宋"/>
        </w:rPr>
        <w:t xml:space="preserve">                           </w:t>
      </w:r>
    </w:p>
    <w:p>
      <w:pPr>
        <w:pStyle w:val="61"/>
        <w:spacing w:before="0" w:after="0"/>
        <w:ind w:firstLine="0"/>
        <w:rPr>
          <w:rFonts w:ascii="华文仿宋" w:eastAsia="华文仿宋"/>
        </w:rPr>
      </w:pPr>
    </w:p>
    <w:p>
      <w:pPr>
        <w:pStyle w:val="61"/>
        <w:spacing w:before="0" w:after="0"/>
        <w:ind w:firstLine="0"/>
        <w:rPr>
          <w:rFonts w:ascii="华文仿宋" w:eastAsia="华文仿宋"/>
        </w:rPr>
      </w:pPr>
    </w:p>
    <w:p>
      <w:pPr>
        <w:pStyle w:val="61"/>
        <w:spacing w:before="0" w:after="0"/>
        <w:ind w:firstLine="0"/>
        <w:rPr>
          <w:rFonts w:ascii="华文仿宋" w:eastAsia="华文仿宋"/>
        </w:rPr>
      </w:pPr>
    </w:p>
    <w:p>
      <w:pPr>
        <w:pStyle w:val="61"/>
        <w:spacing w:before="0" w:after="0"/>
        <w:ind w:firstLine="0"/>
        <w:rPr>
          <w:rFonts w:ascii="华文仿宋" w:eastAsia="华文仿宋"/>
        </w:rPr>
      </w:pPr>
    </w:p>
    <w:p>
      <w:pPr>
        <w:pStyle w:val="61"/>
        <w:spacing w:before="0" w:after="0"/>
        <w:ind w:firstLine="0"/>
        <w:rPr>
          <w:rFonts w:ascii="华文仿宋" w:eastAsia="华文仿宋"/>
        </w:rPr>
      </w:pPr>
    </w:p>
    <w:p>
      <w:pPr>
        <w:pStyle w:val="61"/>
        <w:spacing w:before="0" w:after="0"/>
        <w:ind w:firstLine="0"/>
        <w:rPr>
          <w:rFonts w:ascii="华文仿宋" w:eastAsia="华文仿宋"/>
        </w:rPr>
      </w:pPr>
    </w:p>
    <w:p>
      <w:pPr>
        <w:pStyle w:val="61"/>
        <w:ind w:firstLine="0"/>
        <w:jc w:val="center"/>
        <w:rPr>
          <w:rFonts w:ascii="宋体"/>
          <w:b/>
          <w:bCs/>
          <w:sz w:val="32"/>
          <w:szCs w:val="32"/>
        </w:rPr>
      </w:pPr>
      <w:r>
        <w:rPr>
          <w:rFonts w:hint="eastAsia" w:ascii="宋体"/>
          <w:b/>
          <w:bCs/>
          <w:sz w:val="32"/>
          <w:szCs w:val="32"/>
        </w:rPr>
        <w:t>南京信息职业技术学院</w:t>
      </w:r>
    </w:p>
    <w:p>
      <w:pPr>
        <w:pStyle w:val="61"/>
        <w:ind w:firstLine="0"/>
        <w:jc w:val="center"/>
        <w:rPr>
          <w:rFonts w:ascii="华文仿宋" w:eastAsia="华文仿宋"/>
        </w:rPr>
      </w:pPr>
    </w:p>
    <w:p>
      <w:pPr>
        <w:pStyle w:val="61"/>
        <w:ind w:firstLine="0"/>
        <w:jc w:val="center"/>
        <w:rPr>
          <w:rFonts w:ascii="华文仿宋" w:eastAsia="华文仿宋"/>
          <w:sz w:val="44"/>
          <w:szCs w:val="44"/>
        </w:rPr>
        <w:sectPr>
          <w:headerReference r:id="rId4" w:type="first"/>
          <w:footerReference r:id="rId7" w:type="first"/>
          <w:headerReference r:id="rId3" w:type="default"/>
          <w:footerReference r:id="rId5" w:type="default"/>
          <w:footerReference r:id="rId6" w:type="even"/>
          <w:pgSz w:w="11906" w:h="16838"/>
          <w:pgMar w:top="1418" w:right="1588" w:bottom="1418" w:left="1366" w:header="851" w:footer="907" w:gutter="0"/>
          <w:pgNumType w:start="1"/>
          <w:cols w:space="720" w:num="1"/>
          <w:titlePg/>
          <w:docGrid w:type="lines" w:linePitch="290" w:charSpace="0"/>
        </w:sectPr>
      </w:pPr>
      <w:r>
        <w:rPr>
          <w:rFonts w:hint="eastAsia" w:ascii="华文仿宋" w:eastAsia="华文仿宋"/>
          <w:sz w:val="44"/>
          <w:szCs w:val="44"/>
        </w:rPr>
        <w:t>2018年10月</w:t>
      </w:r>
    </w:p>
    <w:p>
      <w:pPr>
        <w:pStyle w:val="2"/>
        <w:ind w:firstLine="3481" w:firstLineChars="788"/>
      </w:pPr>
      <w:bookmarkStart w:id="1" w:name="_Toc311046294"/>
      <w:bookmarkStart w:id="2" w:name="_Toc311047790"/>
      <w:bookmarkStart w:id="3" w:name="_Toc374431630"/>
      <w:r>
        <w:rPr>
          <w:rFonts w:hint="eastAsia"/>
        </w:rPr>
        <w:t>目    录</w:t>
      </w:r>
      <w:bookmarkEnd w:id="1"/>
      <w:bookmarkEnd w:id="2"/>
      <w:bookmarkEnd w:id="3"/>
    </w:p>
    <w:p>
      <w:pPr>
        <w:pStyle w:val="17"/>
        <w:tabs>
          <w:tab w:val="right" w:leader="dot" w:pos="8942"/>
        </w:tabs>
        <w:rPr>
          <w:sz w:val="25"/>
          <w:szCs w:val="24"/>
        </w:rPr>
      </w:pPr>
      <w:r>
        <w:rPr>
          <w:sz w:val="32"/>
          <w:szCs w:val="28"/>
        </w:rPr>
        <w:fldChar w:fldCharType="begin"/>
      </w:r>
      <w:r>
        <w:rPr>
          <w:sz w:val="32"/>
          <w:szCs w:val="28"/>
        </w:rPr>
        <w:instrText xml:space="preserve"> </w:instrText>
      </w:r>
      <w:r>
        <w:rPr>
          <w:rFonts w:hint="eastAsia"/>
          <w:sz w:val="32"/>
          <w:szCs w:val="28"/>
        </w:rPr>
        <w:instrText xml:space="preserve">TOC \o "1-3" \h \z \u</w:instrText>
      </w:r>
      <w:r>
        <w:rPr>
          <w:sz w:val="32"/>
          <w:szCs w:val="28"/>
        </w:rPr>
        <w:instrText xml:space="preserve"> </w:instrText>
      </w:r>
      <w:r>
        <w:rPr>
          <w:sz w:val="32"/>
          <w:szCs w:val="28"/>
        </w:rPr>
        <w:fldChar w:fldCharType="separate"/>
      </w:r>
      <w:r>
        <w:fldChar w:fldCharType="begin"/>
      </w:r>
      <w:r>
        <w:instrText xml:space="preserve"> HYPERLINK \l "_Toc374431630" </w:instrText>
      </w:r>
      <w:r>
        <w:fldChar w:fldCharType="separate"/>
      </w:r>
      <w:r>
        <w:fldChar w:fldCharType="end"/>
      </w:r>
    </w:p>
    <w:p>
      <w:pPr>
        <w:pStyle w:val="17"/>
        <w:tabs>
          <w:tab w:val="right" w:leader="dot" w:pos="8942"/>
        </w:tabs>
        <w:rPr>
          <w:rFonts w:ascii="仿宋" w:hAnsi="仿宋" w:eastAsia="仿宋" w:cs="仿宋"/>
          <w:sz w:val="25"/>
        </w:rPr>
      </w:pPr>
      <w:r>
        <w:fldChar w:fldCharType="begin"/>
      </w:r>
      <w:r>
        <w:instrText xml:space="preserve"> HYPERLINK \l "_Toc374431631" </w:instrText>
      </w:r>
      <w:r>
        <w:fldChar w:fldCharType="separate"/>
      </w:r>
      <w:r>
        <w:rPr>
          <w:rStyle w:val="24"/>
          <w:rFonts w:hint="eastAsia" w:ascii="仿宋" w:hAnsi="仿宋" w:eastAsia="仿宋" w:cs="仿宋"/>
          <w:sz w:val="25"/>
        </w:rPr>
        <w:t>第一章 竞争性谈判采购公告</w:t>
      </w:r>
      <w:r>
        <w:rPr>
          <w:rFonts w:hint="eastAsia" w:ascii="仿宋" w:hAnsi="仿宋" w:eastAsia="仿宋" w:cs="仿宋"/>
          <w:sz w:val="25"/>
        </w:rPr>
        <w:tab/>
      </w:r>
      <w:r>
        <w:rPr>
          <w:rFonts w:hint="eastAsia" w:ascii="仿宋" w:hAnsi="仿宋" w:eastAsia="仿宋" w:cs="仿宋"/>
          <w:sz w:val="25"/>
        </w:rPr>
        <w:t>3</w:t>
      </w:r>
      <w:r>
        <w:rPr>
          <w:rFonts w:hint="eastAsia" w:ascii="仿宋" w:hAnsi="仿宋" w:eastAsia="仿宋" w:cs="仿宋"/>
          <w:sz w:val="25"/>
        </w:rPr>
        <w:fldChar w:fldCharType="end"/>
      </w:r>
    </w:p>
    <w:p>
      <w:pPr>
        <w:pStyle w:val="17"/>
        <w:tabs>
          <w:tab w:val="right" w:leader="dot" w:pos="8942"/>
        </w:tabs>
        <w:rPr>
          <w:rFonts w:ascii="仿宋" w:hAnsi="仿宋" w:eastAsia="仿宋" w:cs="仿宋"/>
          <w:sz w:val="25"/>
        </w:rPr>
      </w:pPr>
      <w:r>
        <w:fldChar w:fldCharType="begin"/>
      </w:r>
      <w:r>
        <w:instrText xml:space="preserve"> HYPERLINK \l "_Toc374431631" </w:instrText>
      </w:r>
      <w:r>
        <w:fldChar w:fldCharType="separate"/>
      </w:r>
      <w:r>
        <w:rPr>
          <w:rStyle w:val="24"/>
          <w:rFonts w:hint="eastAsia" w:ascii="仿宋" w:hAnsi="仿宋" w:eastAsia="仿宋" w:cs="仿宋"/>
          <w:sz w:val="25"/>
        </w:rPr>
        <w:t>第二章参加谈判供应商须知</w:t>
      </w:r>
      <w:r>
        <w:rPr>
          <w:rFonts w:hint="eastAsia"/>
        </w:rPr>
        <w:tab/>
      </w:r>
      <w:r>
        <w:rPr>
          <w:rFonts w:hint="eastAsia" w:ascii="仿宋" w:hAnsi="仿宋" w:eastAsia="仿宋" w:cs="仿宋"/>
          <w:sz w:val="25"/>
        </w:rPr>
        <w:t>5</w:t>
      </w:r>
      <w:r>
        <w:rPr>
          <w:rFonts w:hint="eastAsia" w:ascii="仿宋" w:hAnsi="仿宋" w:eastAsia="仿宋" w:cs="仿宋"/>
          <w:sz w:val="25"/>
        </w:rPr>
        <w:fldChar w:fldCharType="end"/>
      </w:r>
    </w:p>
    <w:p>
      <w:pPr>
        <w:pStyle w:val="17"/>
        <w:tabs>
          <w:tab w:val="right" w:leader="dot" w:pos="8942"/>
        </w:tabs>
        <w:rPr>
          <w:rFonts w:ascii="仿宋" w:hAnsi="仿宋" w:eastAsia="仿宋" w:cs="仿宋"/>
          <w:sz w:val="25"/>
          <w:szCs w:val="24"/>
        </w:rPr>
      </w:pPr>
      <w:r>
        <w:fldChar w:fldCharType="begin"/>
      </w:r>
      <w:r>
        <w:instrText xml:space="preserve"> HYPERLINK \l "_Toc374431632" </w:instrText>
      </w:r>
      <w:r>
        <w:fldChar w:fldCharType="separate"/>
      </w:r>
      <w:r>
        <w:rPr>
          <w:rStyle w:val="24"/>
          <w:rFonts w:hint="eastAsia" w:ascii="仿宋" w:hAnsi="仿宋" w:eastAsia="仿宋" w:cs="仿宋"/>
          <w:sz w:val="25"/>
        </w:rPr>
        <w:t>第三章  合同条款及格式</w:t>
      </w:r>
      <w:r>
        <w:rPr>
          <w:rFonts w:hint="eastAsia" w:ascii="仿宋" w:hAnsi="仿宋" w:eastAsia="仿宋" w:cs="仿宋"/>
          <w:sz w:val="25"/>
        </w:rPr>
        <w:tab/>
      </w:r>
      <w:r>
        <w:rPr>
          <w:rFonts w:hint="eastAsia" w:ascii="仿宋" w:hAnsi="仿宋" w:eastAsia="仿宋" w:cs="仿宋"/>
          <w:sz w:val="25"/>
        </w:rPr>
        <w:fldChar w:fldCharType="begin"/>
      </w:r>
      <w:r>
        <w:rPr>
          <w:rFonts w:hint="eastAsia" w:ascii="仿宋" w:hAnsi="仿宋" w:eastAsia="仿宋" w:cs="仿宋"/>
          <w:sz w:val="25"/>
        </w:rPr>
        <w:instrText xml:space="preserve"> PAGEREF _Toc374431632 \h </w:instrText>
      </w:r>
      <w:r>
        <w:rPr>
          <w:rFonts w:hint="eastAsia" w:ascii="仿宋" w:hAnsi="仿宋" w:eastAsia="仿宋" w:cs="仿宋"/>
          <w:sz w:val="25"/>
        </w:rPr>
        <w:fldChar w:fldCharType="separate"/>
      </w:r>
      <w:r>
        <w:rPr>
          <w:rFonts w:hint="eastAsia" w:ascii="仿宋" w:hAnsi="仿宋" w:eastAsia="仿宋" w:cs="仿宋"/>
          <w:sz w:val="25"/>
        </w:rPr>
        <w:t>１6</w:t>
      </w:r>
      <w:r>
        <w:rPr>
          <w:rFonts w:hint="eastAsia" w:ascii="仿宋" w:hAnsi="仿宋" w:eastAsia="仿宋" w:cs="仿宋"/>
          <w:sz w:val="25"/>
        </w:rPr>
        <w:fldChar w:fldCharType="end"/>
      </w:r>
      <w:r>
        <w:rPr>
          <w:rFonts w:hint="eastAsia" w:ascii="仿宋" w:hAnsi="仿宋" w:eastAsia="仿宋" w:cs="仿宋"/>
          <w:sz w:val="25"/>
        </w:rPr>
        <w:fldChar w:fldCharType="end"/>
      </w:r>
    </w:p>
    <w:p>
      <w:pPr>
        <w:pStyle w:val="17"/>
        <w:tabs>
          <w:tab w:val="right" w:leader="dot" w:pos="8942"/>
        </w:tabs>
        <w:rPr>
          <w:rFonts w:ascii="仿宋" w:hAnsi="仿宋" w:eastAsia="仿宋" w:cs="仿宋"/>
          <w:sz w:val="25"/>
          <w:szCs w:val="24"/>
        </w:rPr>
      </w:pPr>
      <w:r>
        <w:fldChar w:fldCharType="begin"/>
      </w:r>
      <w:r>
        <w:instrText xml:space="preserve"> HYPERLINK \l "_Toc374431634" </w:instrText>
      </w:r>
      <w:r>
        <w:fldChar w:fldCharType="separate"/>
      </w:r>
      <w:r>
        <w:rPr>
          <w:rStyle w:val="24"/>
          <w:rFonts w:hint="eastAsia" w:ascii="仿宋" w:hAnsi="仿宋" w:eastAsia="仿宋" w:cs="仿宋"/>
          <w:sz w:val="25"/>
        </w:rPr>
        <w:t>第四章 项目需求</w:t>
      </w:r>
      <w:r>
        <w:rPr>
          <w:rFonts w:hint="eastAsia" w:ascii="仿宋" w:hAnsi="仿宋" w:eastAsia="仿宋" w:cs="仿宋"/>
          <w:sz w:val="25"/>
        </w:rPr>
        <w:tab/>
      </w:r>
      <w:r>
        <w:rPr>
          <w:rFonts w:hint="eastAsia" w:ascii="仿宋" w:hAnsi="仿宋" w:eastAsia="仿宋" w:cs="仿宋"/>
          <w:sz w:val="25"/>
        </w:rPr>
        <w:t>19</w:t>
      </w:r>
      <w:r>
        <w:rPr>
          <w:rFonts w:hint="eastAsia" w:ascii="仿宋" w:hAnsi="仿宋" w:eastAsia="仿宋" w:cs="仿宋"/>
          <w:sz w:val="25"/>
        </w:rPr>
        <w:fldChar w:fldCharType="end"/>
      </w:r>
    </w:p>
    <w:p>
      <w:pPr>
        <w:pStyle w:val="17"/>
        <w:tabs>
          <w:tab w:val="right" w:leader="dot" w:pos="8942"/>
        </w:tabs>
        <w:rPr>
          <w:rFonts w:ascii="仿宋" w:hAnsi="仿宋" w:eastAsia="仿宋" w:cs="仿宋"/>
          <w:sz w:val="25"/>
          <w:szCs w:val="24"/>
        </w:rPr>
      </w:pPr>
      <w:r>
        <w:fldChar w:fldCharType="begin"/>
      </w:r>
      <w:r>
        <w:instrText xml:space="preserve"> HYPERLINK \l "_Toc374431642" </w:instrText>
      </w:r>
      <w:r>
        <w:fldChar w:fldCharType="separate"/>
      </w:r>
      <w:r>
        <w:rPr>
          <w:rStyle w:val="24"/>
          <w:rFonts w:hint="eastAsia" w:ascii="仿宋" w:hAnsi="仿宋" w:eastAsia="仿宋" w:cs="仿宋"/>
          <w:sz w:val="25"/>
        </w:rPr>
        <w:t>第五章  谈判响应文件格式</w:t>
      </w:r>
      <w:r>
        <w:rPr>
          <w:rFonts w:hint="eastAsia" w:ascii="仿宋" w:hAnsi="仿宋" w:eastAsia="仿宋" w:cs="仿宋"/>
          <w:sz w:val="25"/>
        </w:rPr>
        <w:tab/>
      </w:r>
      <w:r>
        <w:rPr>
          <w:rFonts w:hint="eastAsia" w:ascii="仿宋" w:hAnsi="仿宋" w:eastAsia="仿宋" w:cs="仿宋"/>
          <w:sz w:val="25"/>
        </w:rPr>
        <w:t>24</w:t>
      </w:r>
      <w:r>
        <w:rPr>
          <w:rFonts w:hint="eastAsia" w:ascii="仿宋" w:hAnsi="仿宋" w:eastAsia="仿宋" w:cs="仿宋"/>
          <w:sz w:val="25"/>
        </w:rPr>
        <w:fldChar w:fldCharType="end"/>
      </w:r>
    </w:p>
    <w:p>
      <w:pPr>
        <w:rPr>
          <w:sz w:val="32"/>
          <w:szCs w:val="28"/>
        </w:rPr>
      </w:pPr>
      <w:r>
        <w:rPr>
          <w:sz w:val="32"/>
          <w:szCs w:val="28"/>
        </w:rPr>
        <w:fldChar w:fldCharType="end"/>
      </w:r>
    </w:p>
    <w:p>
      <w:pPr>
        <w:pStyle w:val="2"/>
        <w:jc w:val="center"/>
        <w:rPr>
          <w:rFonts w:cs="Arial"/>
        </w:rPr>
      </w:pPr>
      <w:bookmarkStart w:id="4" w:name="_Toc311047791"/>
      <w:bookmarkStart w:id="5" w:name="_Toc311046295"/>
      <w:bookmarkStart w:id="6" w:name="_Toc374431631"/>
      <w:r>
        <w:rPr>
          <w:rFonts w:hint="eastAsia"/>
        </w:rPr>
        <w:t>第一章 竞争性谈判采购公告</w:t>
      </w:r>
      <w:bookmarkEnd w:id="0"/>
      <w:bookmarkEnd w:id="4"/>
      <w:bookmarkEnd w:id="5"/>
      <w:bookmarkEnd w:id="6"/>
    </w:p>
    <w:p>
      <w:pPr>
        <w:pStyle w:val="61"/>
      </w:pPr>
      <w:bookmarkStart w:id="181" w:name="_GoBack"/>
      <w:r>
        <w:rPr>
          <w:rFonts w:hint="eastAsia"/>
        </w:rPr>
        <w:t>南京信息职业技术学院就其所需项目采用竞争性谈判方式采购，欢迎符合相关条件的合格供应商参加谈判。</w:t>
      </w:r>
    </w:p>
    <w:p>
      <w:pPr>
        <w:pStyle w:val="61"/>
      </w:pPr>
      <w:r>
        <w:rPr>
          <w:rFonts w:hint="eastAsia"/>
        </w:rPr>
        <w:t>一、采购项目名称及编号</w:t>
      </w:r>
    </w:p>
    <w:p>
      <w:pPr>
        <w:pStyle w:val="61"/>
        <w:rPr>
          <w:rFonts w:ascii="宋体"/>
          <w:b/>
          <w:bCs/>
          <w:sz w:val="32"/>
          <w:szCs w:val="32"/>
        </w:rPr>
      </w:pPr>
      <w:r>
        <w:rPr>
          <w:rFonts w:hint="eastAsia"/>
        </w:rPr>
        <w:t xml:space="preserve">   项目名称：</w:t>
      </w:r>
      <w:r>
        <w:rPr>
          <w:rFonts w:hint="eastAsia" w:ascii="仿宋" w:hAnsi="仿宋" w:eastAsia="仿宋"/>
        </w:rPr>
        <w:t>通信云服务中心技能鉴定资源</w:t>
      </w:r>
    </w:p>
    <w:p>
      <w:pPr>
        <w:pStyle w:val="61"/>
        <w:rPr>
          <w:rFonts w:hint="eastAsia" w:eastAsia="宋体"/>
          <w:lang w:val="en-US" w:eastAsia="zh-CN"/>
        </w:rPr>
      </w:pPr>
      <w:r>
        <w:rPr>
          <w:rFonts w:hint="eastAsia"/>
        </w:rPr>
        <w:t>编号：NJCIT-201815</w:t>
      </w:r>
      <w:r>
        <w:rPr>
          <w:rFonts w:hint="eastAsia"/>
          <w:lang w:val="en-US" w:eastAsia="zh-CN"/>
        </w:rPr>
        <w:t>8</w:t>
      </w:r>
    </w:p>
    <w:p>
      <w:pPr>
        <w:pStyle w:val="61"/>
      </w:pPr>
      <w:r>
        <w:rPr>
          <w:rFonts w:hint="eastAsia"/>
        </w:rPr>
        <w:t>二、采购项目简要说明</w:t>
      </w:r>
    </w:p>
    <w:tbl>
      <w:tblPr>
        <w:tblStyle w:val="25"/>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51"/>
        <w:gridCol w:w="18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17" w:type="dxa"/>
          </w:tcPr>
          <w:p>
            <w:pPr>
              <w:jc w:val="left"/>
              <w:rPr>
                <w:rFonts w:ascii="宋体" w:hAnsi="宋体"/>
                <w:sz w:val="24"/>
              </w:rPr>
            </w:pPr>
            <w:r>
              <w:rPr>
                <w:rFonts w:hint="eastAsia" w:ascii="宋体" w:hAnsi="宋体"/>
                <w:sz w:val="24"/>
              </w:rPr>
              <w:t>序号</w:t>
            </w:r>
          </w:p>
        </w:tc>
        <w:tc>
          <w:tcPr>
            <w:tcW w:w="3151" w:type="dxa"/>
            <w:vAlign w:val="center"/>
          </w:tcPr>
          <w:p>
            <w:pPr>
              <w:jc w:val="center"/>
              <w:rPr>
                <w:rFonts w:ascii="宋体" w:hAnsi="宋体"/>
                <w:b/>
              </w:rPr>
            </w:pPr>
            <w:r>
              <w:rPr>
                <w:rFonts w:hint="eastAsia" w:ascii="宋体" w:hAnsi="宋体"/>
                <w:b/>
              </w:rPr>
              <w:t>采购项目</w:t>
            </w:r>
          </w:p>
        </w:tc>
        <w:tc>
          <w:tcPr>
            <w:tcW w:w="1810" w:type="dxa"/>
            <w:vAlign w:val="center"/>
          </w:tcPr>
          <w:p>
            <w:pPr>
              <w:jc w:val="center"/>
              <w:rPr>
                <w:rFonts w:ascii="宋体" w:hAnsi="宋体"/>
                <w:b/>
              </w:rPr>
            </w:pPr>
            <w:r>
              <w:rPr>
                <w:rFonts w:hint="eastAsia" w:ascii="宋体" w:hAnsi="宋体"/>
                <w:b/>
              </w:rPr>
              <w:t>数量</w:t>
            </w:r>
          </w:p>
        </w:tc>
        <w:tc>
          <w:tcPr>
            <w:tcW w:w="1560" w:type="dxa"/>
            <w:vAlign w:val="center"/>
          </w:tcPr>
          <w:p>
            <w:pPr>
              <w:jc w:val="center"/>
              <w:rPr>
                <w:rFonts w:ascii="宋体" w:hAnsi="宋体"/>
                <w:b/>
              </w:rPr>
            </w:pPr>
            <w:r>
              <w:rPr>
                <w:rFonts w:hint="eastAsia" w:ascii="宋体" w:hAnsi="宋体"/>
                <w:b/>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17" w:type="dxa"/>
          </w:tcPr>
          <w:p>
            <w:pPr>
              <w:rPr>
                <w:sz w:val="24"/>
              </w:rPr>
            </w:pPr>
            <w:r>
              <w:rPr>
                <w:rFonts w:hint="eastAsia"/>
                <w:sz w:val="24"/>
              </w:rPr>
              <w:t>1</w:t>
            </w:r>
          </w:p>
        </w:tc>
        <w:tc>
          <w:tcPr>
            <w:tcW w:w="3151" w:type="dxa"/>
            <w:vAlign w:val="center"/>
          </w:tcPr>
          <w:p>
            <w:pPr>
              <w:jc w:val="center"/>
              <w:rPr>
                <w:rFonts w:ascii="宋体" w:hAnsi="宋体"/>
              </w:rPr>
            </w:pPr>
            <w:r>
              <w:rPr>
                <w:rFonts w:hint="eastAsia" w:ascii="仿宋" w:hAnsi="仿宋" w:eastAsia="仿宋"/>
              </w:rPr>
              <w:t>通信云服务中心技能鉴定资源</w:t>
            </w:r>
          </w:p>
        </w:tc>
        <w:tc>
          <w:tcPr>
            <w:tcW w:w="1810" w:type="dxa"/>
          </w:tcPr>
          <w:p>
            <w:pPr>
              <w:jc w:val="center"/>
            </w:pPr>
            <w:r>
              <w:rPr>
                <w:rFonts w:hint="eastAsia"/>
              </w:rPr>
              <w:t>1</w:t>
            </w:r>
            <w:r>
              <w:t xml:space="preserve"> </w:t>
            </w:r>
          </w:p>
        </w:tc>
        <w:tc>
          <w:tcPr>
            <w:tcW w:w="1560" w:type="dxa"/>
          </w:tcPr>
          <w:p>
            <w:pPr>
              <w:jc w:val="center"/>
            </w:pPr>
            <w:r>
              <w:rPr>
                <w:rFonts w:hint="eastAsia"/>
                <w:lang w:val="en-US" w:eastAsia="zh-CN"/>
              </w:rPr>
              <w:t>31.4</w:t>
            </w:r>
            <w:r>
              <w:rPr>
                <w:rFonts w:hint="eastAsia"/>
              </w:rPr>
              <w:t>万</w:t>
            </w:r>
          </w:p>
        </w:tc>
      </w:tr>
    </w:tbl>
    <w:p>
      <w:pPr>
        <w:pStyle w:val="61"/>
      </w:pPr>
      <w:r>
        <w:rPr>
          <w:rFonts w:hint="eastAsia"/>
        </w:rPr>
        <w:t>三、合格谈判供应商资格要求</w:t>
      </w:r>
    </w:p>
    <w:p>
      <w:pPr>
        <w:pStyle w:val="61"/>
      </w:pPr>
      <w:r>
        <w:rPr>
          <w:rFonts w:hint="eastAsia"/>
        </w:rPr>
        <w:t>（一）符合政府采购法第二十二条第一款规定的条件，并提供下列材料；</w:t>
      </w:r>
    </w:p>
    <w:p>
      <w:pPr>
        <w:pStyle w:val="61"/>
      </w:pPr>
      <w:r>
        <w:rPr>
          <w:rFonts w:hint="eastAsia"/>
        </w:rPr>
        <w:t>1、法人或者其他组织的营业执照等证明文件，自然人的身份证明；</w:t>
      </w:r>
    </w:p>
    <w:p>
      <w:pPr>
        <w:pStyle w:val="61"/>
      </w:pPr>
      <w:r>
        <w:rPr>
          <w:rFonts w:hint="eastAsia"/>
        </w:rPr>
        <w:t>2、上一年度的财务状况报告（成立不满一年不需提供）；</w:t>
      </w:r>
    </w:p>
    <w:p>
      <w:pPr>
        <w:pStyle w:val="61"/>
      </w:pPr>
      <w:r>
        <w:rPr>
          <w:rFonts w:hint="eastAsia"/>
        </w:rPr>
        <w:t>3、依法缴纳税收和社会保障资金的相关材料；</w:t>
      </w:r>
    </w:p>
    <w:p>
      <w:pPr>
        <w:pStyle w:val="61"/>
      </w:pPr>
      <w:r>
        <w:rPr>
          <w:rFonts w:hint="eastAsia"/>
        </w:rPr>
        <w:t>4、具备履行合同所必需的设备和专业技术能力的证明材料；</w:t>
      </w:r>
    </w:p>
    <w:p>
      <w:pPr>
        <w:pStyle w:val="61"/>
      </w:pPr>
      <w:r>
        <w:rPr>
          <w:rFonts w:hint="eastAsia"/>
        </w:rPr>
        <w:t>5、参加政府采购活动前3年内在经营活动中没有重大违法记录的书面声明；</w:t>
      </w:r>
    </w:p>
    <w:p>
      <w:pPr>
        <w:pStyle w:val="61"/>
        <w:ind w:left="839" w:leftChars="228" w:hanging="360" w:hangingChars="150"/>
        <w:rPr>
          <w:rFonts w:hint="eastAsia"/>
        </w:rPr>
      </w:pPr>
      <w:r>
        <w:rPr>
          <w:rFonts w:hint="eastAsia"/>
        </w:rPr>
        <w:t>6、参加本次谈判的供应商需未被“信用中国”网站（www.creditchina.gov.cn）列入失信被执行人、重大税收违法案件当事人名单、政府采购严重失信行为记录名单。</w:t>
      </w:r>
    </w:p>
    <w:p>
      <w:pPr>
        <w:pStyle w:val="61"/>
        <w:ind w:left="839" w:leftChars="228" w:hanging="360" w:hangingChars="150"/>
      </w:pPr>
      <w:r>
        <w:rPr>
          <w:rFonts w:hint="eastAsia"/>
        </w:rPr>
        <w:t>（二）</w:t>
      </w:r>
      <w:r>
        <w:rPr>
          <w:rFonts w:hint="eastAsia"/>
        </w:rPr>
        <w:tab/>
      </w:r>
      <w:r>
        <w:rPr>
          <w:rFonts w:hint="eastAsia"/>
        </w:rPr>
        <w:t>本项目不允许联合体报价。</w:t>
      </w:r>
    </w:p>
    <w:p>
      <w:pPr>
        <w:pStyle w:val="61"/>
      </w:pPr>
      <w:r>
        <w:rPr>
          <w:rFonts w:hint="eastAsia"/>
        </w:rPr>
        <w:t>（三）</w:t>
      </w:r>
      <w:r>
        <w:rPr>
          <w:rFonts w:hint="eastAsia"/>
        </w:rPr>
        <w:tab/>
      </w:r>
      <w:r>
        <w:rPr>
          <w:rFonts w:hint="eastAsia"/>
        </w:rPr>
        <w:t>本次采购不接受进口产品与服务。</w:t>
      </w:r>
    </w:p>
    <w:p>
      <w:pPr>
        <w:pStyle w:val="61"/>
      </w:pPr>
      <w:r>
        <w:rPr>
          <w:rFonts w:hint="eastAsia"/>
        </w:rPr>
        <w:t>四、采购文件发布信息</w:t>
      </w:r>
    </w:p>
    <w:p>
      <w:pPr>
        <w:pStyle w:val="61"/>
      </w:pPr>
      <w:r>
        <w:rPr>
          <w:rFonts w:hint="eastAsia"/>
        </w:rPr>
        <w:t>采购文件发布时间：自采购公告在南京信息职业技术学院校网发布之日起3个工作日。谈判文件在南京信息职业技术学院校网上免费下载。有关本次谈判的事项若存在变动或修改，敬请及时关注南京信息职业技术学院校网发布的信息补充（更正）公告。</w:t>
      </w:r>
    </w:p>
    <w:p>
      <w:pPr>
        <w:pStyle w:val="61"/>
      </w:pPr>
      <w:r>
        <w:rPr>
          <w:rFonts w:hint="eastAsia"/>
        </w:rPr>
        <w:t>五、谈判响应文件接受信息</w:t>
      </w:r>
    </w:p>
    <w:p>
      <w:pPr>
        <w:pStyle w:val="61"/>
      </w:pPr>
      <w:r>
        <w:rPr>
          <w:rFonts w:hint="eastAsia"/>
        </w:rPr>
        <w:t>谈判响应文件接收时间： 2018年</w:t>
      </w:r>
      <w:r>
        <w:rPr>
          <w:rFonts w:hint="eastAsia"/>
          <w:lang w:val="en-US" w:eastAsia="zh-CN"/>
        </w:rPr>
        <w:t>11</w:t>
      </w:r>
      <w:r>
        <w:rPr>
          <w:rFonts w:hint="eastAsia"/>
        </w:rPr>
        <w:t>月</w:t>
      </w:r>
      <w:r>
        <w:rPr>
          <w:rFonts w:hint="eastAsia"/>
          <w:lang w:val="en-US" w:eastAsia="zh-CN"/>
        </w:rPr>
        <w:t>8</w:t>
      </w:r>
      <w:r>
        <w:rPr>
          <w:rFonts w:hint="eastAsia"/>
        </w:rPr>
        <w:t>日</w:t>
      </w:r>
      <w:r>
        <w:rPr>
          <w:rFonts w:hint="eastAsia"/>
          <w:lang w:val="en-US" w:eastAsia="zh-CN"/>
        </w:rPr>
        <w:t>9</w:t>
      </w:r>
      <w:r>
        <w:rPr>
          <w:rFonts w:hint="eastAsia"/>
        </w:rPr>
        <w:t>：</w:t>
      </w:r>
      <w:r>
        <w:rPr>
          <w:rFonts w:hint="eastAsia"/>
          <w:lang w:val="en-US" w:eastAsia="zh-CN"/>
        </w:rPr>
        <w:t>0</w:t>
      </w:r>
      <w:r>
        <w:rPr>
          <w:rFonts w:hint="eastAsia"/>
        </w:rPr>
        <w:t>0—</w:t>
      </w:r>
      <w:r>
        <w:rPr>
          <w:rFonts w:hint="eastAsia"/>
          <w:lang w:val="en-US" w:eastAsia="zh-CN"/>
        </w:rPr>
        <w:t>09</w:t>
      </w:r>
      <w:r>
        <w:rPr>
          <w:rFonts w:hint="eastAsia"/>
        </w:rPr>
        <w:t>：</w:t>
      </w:r>
      <w:r>
        <w:rPr>
          <w:rFonts w:hint="eastAsia"/>
          <w:lang w:val="en-US" w:eastAsia="zh-CN"/>
        </w:rPr>
        <w:t>3</w:t>
      </w:r>
      <w:r>
        <w:rPr>
          <w:rFonts w:hint="eastAsia"/>
        </w:rPr>
        <w:t xml:space="preserve">0 </w:t>
      </w:r>
    </w:p>
    <w:p>
      <w:pPr>
        <w:pStyle w:val="61"/>
      </w:pPr>
      <w:r>
        <w:rPr>
          <w:rFonts w:hint="eastAsia"/>
        </w:rPr>
        <w:t>谈判响应文件接收截止时间：2018年</w:t>
      </w:r>
      <w:r>
        <w:rPr>
          <w:rFonts w:hint="eastAsia"/>
          <w:lang w:val="en-US" w:eastAsia="zh-CN"/>
        </w:rPr>
        <w:t>11</w:t>
      </w:r>
      <w:r>
        <w:rPr>
          <w:rFonts w:hint="eastAsia"/>
        </w:rPr>
        <w:t>月</w:t>
      </w:r>
      <w:r>
        <w:rPr>
          <w:rFonts w:hint="eastAsia"/>
          <w:lang w:val="en-US" w:eastAsia="zh-CN"/>
        </w:rPr>
        <w:t>8</w:t>
      </w:r>
      <w:r>
        <w:rPr>
          <w:rFonts w:hint="eastAsia"/>
        </w:rPr>
        <w:t>日</w:t>
      </w:r>
      <w:r>
        <w:rPr>
          <w:rFonts w:hint="eastAsia"/>
          <w:lang w:val="en-US" w:eastAsia="zh-CN"/>
        </w:rPr>
        <w:t>09</w:t>
      </w:r>
      <w:r>
        <w:rPr>
          <w:rFonts w:hint="eastAsia"/>
        </w:rPr>
        <w:t>：</w:t>
      </w:r>
      <w:r>
        <w:rPr>
          <w:rFonts w:hint="eastAsia"/>
          <w:lang w:val="en-US" w:eastAsia="zh-CN"/>
        </w:rPr>
        <w:t>3</w:t>
      </w:r>
      <w:r>
        <w:rPr>
          <w:rFonts w:hint="eastAsia"/>
        </w:rPr>
        <w:t>0</w:t>
      </w:r>
    </w:p>
    <w:p>
      <w:pPr>
        <w:pStyle w:val="61"/>
      </w:pPr>
      <w:r>
        <w:rPr>
          <w:rFonts w:hint="eastAsia"/>
        </w:rPr>
        <w:t>谈判响应文件接收地点：南京信息职业技术学院行政楼B101室</w:t>
      </w:r>
    </w:p>
    <w:p>
      <w:pPr>
        <w:pStyle w:val="61"/>
      </w:pPr>
      <w:r>
        <w:rPr>
          <w:rFonts w:hint="eastAsia"/>
        </w:rPr>
        <w:t>谈判响应文件接收人：韦薇</w:t>
      </w:r>
    </w:p>
    <w:p>
      <w:pPr>
        <w:pStyle w:val="61"/>
      </w:pPr>
      <w:r>
        <w:rPr>
          <w:rFonts w:hint="eastAsia"/>
        </w:rPr>
        <w:t>六、本次谈判采购联系事项</w:t>
      </w:r>
    </w:p>
    <w:p>
      <w:pPr>
        <w:pStyle w:val="61"/>
      </w:pPr>
      <w:r>
        <w:rPr>
          <w:rFonts w:hint="eastAsia"/>
        </w:rPr>
        <w:t>使用方联系人：黄老师，联系电话：025－85842281</w:t>
      </w:r>
    </w:p>
    <w:p>
      <w:pPr>
        <w:pStyle w:val="61"/>
      </w:pPr>
      <w:r>
        <w:rPr>
          <w:rFonts w:hint="eastAsia"/>
        </w:rPr>
        <w:t>七、本次谈判响应文件制作份数要求</w:t>
      </w:r>
    </w:p>
    <w:p>
      <w:pPr>
        <w:pStyle w:val="61"/>
      </w:pPr>
      <w:r>
        <w:rPr>
          <w:rFonts w:hint="eastAsia"/>
        </w:rPr>
        <w:t>正本份数：1份，副本份数：2份。</w:t>
      </w:r>
    </w:p>
    <w:p>
      <w:pPr>
        <w:pStyle w:val="61"/>
      </w:pPr>
      <w:r>
        <w:rPr>
          <w:rFonts w:hint="eastAsia"/>
        </w:rPr>
        <w:t>八、本次谈判保证金要求：</w:t>
      </w:r>
    </w:p>
    <w:p>
      <w:pPr>
        <w:pStyle w:val="61"/>
      </w:pPr>
      <w:r>
        <w:rPr>
          <w:rFonts w:hint="eastAsia"/>
        </w:rPr>
        <w:t>本次采购不收投标保证金，采购文件中涉及投标保证金的事项，均按免收投标保证金执行。</w:t>
      </w:r>
    </w:p>
    <w:bookmarkEnd w:id="181"/>
    <w:p/>
    <w:p/>
    <w:p/>
    <w:p>
      <w:pPr>
        <w:tabs>
          <w:tab w:val="left" w:pos="900"/>
        </w:tabs>
        <w:adjustRightInd w:val="0"/>
        <w:snapToGrid w:val="0"/>
        <w:spacing w:line="360" w:lineRule="auto"/>
        <w:rPr>
          <w:rFonts w:ascii="黑体" w:eastAsia="黑体"/>
          <w:b/>
          <w:sz w:val="44"/>
          <w:szCs w:val="44"/>
        </w:rPr>
      </w:pPr>
      <w:r>
        <w:rPr>
          <w:rFonts w:hint="eastAsia" w:ascii="黑体" w:eastAsia="黑体"/>
          <w:b/>
          <w:sz w:val="44"/>
          <w:szCs w:val="44"/>
        </w:rPr>
        <w:t xml:space="preserve">      </w:t>
      </w:r>
    </w:p>
    <w:p>
      <w:pPr>
        <w:tabs>
          <w:tab w:val="left" w:pos="900"/>
        </w:tabs>
        <w:adjustRightInd w:val="0"/>
        <w:snapToGrid w:val="0"/>
        <w:spacing w:line="360" w:lineRule="auto"/>
        <w:jc w:val="center"/>
        <w:rPr>
          <w:rFonts w:ascii="黑体" w:eastAsia="黑体"/>
          <w:b/>
          <w:bCs/>
          <w:color w:val="000000"/>
          <w:sz w:val="44"/>
          <w:szCs w:val="44"/>
        </w:rPr>
      </w:pPr>
      <w:r>
        <w:rPr>
          <w:rFonts w:hint="eastAsia" w:ascii="黑体" w:eastAsia="黑体"/>
          <w:b/>
          <w:sz w:val="44"/>
          <w:szCs w:val="44"/>
        </w:rPr>
        <w:t xml:space="preserve">第二章  </w:t>
      </w:r>
      <w:bookmarkStart w:id="7" w:name="_Toc20823274"/>
      <w:bookmarkStart w:id="8" w:name="_Toc120614213"/>
      <w:bookmarkStart w:id="9" w:name="_Toc16938518"/>
      <w:bookmarkStart w:id="10" w:name="_Toc513029202"/>
      <w:r>
        <w:rPr>
          <w:rFonts w:hint="eastAsia" w:ascii="黑体" w:eastAsia="黑体"/>
          <w:b/>
          <w:sz w:val="44"/>
          <w:szCs w:val="44"/>
        </w:rPr>
        <w:t>参加谈判供应商须知</w:t>
      </w:r>
      <w:bookmarkEnd w:id="7"/>
      <w:bookmarkEnd w:id="8"/>
      <w:bookmarkEnd w:id="9"/>
      <w:bookmarkEnd w:id="10"/>
    </w:p>
    <w:p>
      <w:pPr>
        <w:adjustRightInd w:val="0"/>
        <w:snapToGrid w:val="0"/>
        <w:spacing w:line="360" w:lineRule="auto"/>
        <w:rPr>
          <w:b/>
          <w:sz w:val="30"/>
          <w:szCs w:val="30"/>
        </w:rPr>
      </w:pPr>
      <w:bookmarkStart w:id="11" w:name="_Toc513029203"/>
      <w:bookmarkStart w:id="12" w:name="_Toc20823275"/>
      <w:bookmarkStart w:id="13" w:name="_Toc16938519"/>
      <w:bookmarkStart w:id="14" w:name="_Toc120614214"/>
      <w:r>
        <w:rPr>
          <w:rFonts w:hint="eastAsia"/>
          <w:b/>
          <w:sz w:val="30"/>
          <w:szCs w:val="30"/>
        </w:rPr>
        <w:t>一、总则</w:t>
      </w:r>
      <w:bookmarkEnd w:id="11"/>
      <w:bookmarkEnd w:id="12"/>
      <w:bookmarkEnd w:id="13"/>
      <w:bookmarkEnd w:id="14"/>
    </w:p>
    <w:p>
      <w:pPr>
        <w:adjustRightInd w:val="0"/>
        <w:snapToGrid w:val="0"/>
        <w:spacing w:line="360" w:lineRule="auto"/>
        <w:ind w:firstLine="472" w:firstLineChars="196"/>
        <w:rPr>
          <w:rFonts w:ascii="宋体" w:hAnsi="宋体"/>
          <w:b/>
          <w:sz w:val="24"/>
          <w:szCs w:val="24"/>
        </w:rPr>
      </w:pPr>
      <w:bookmarkStart w:id="15" w:name="_Hlt16619475"/>
      <w:bookmarkEnd w:id="15"/>
      <w:bookmarkStart w:id="16" w:name="_Toc458694821"/>
      <w:bookmarkStart w:id="17" w:name="_Toc16938520"/>
      <w:bookmarkStart w:id="18" w:name="_Toc513029204"/>
      <w:bookmarkStart w:id="19" w:name="_Toc20823276"/>
      <w:r>
        <w:rPr>
          <w:rFonts w:hint="eastAsia" w:ascii="宋体" w:hAnsi="宋体"/>
          <w:b/>
          <w:sz w:val="24"/>
          <w:szCs w:val="24"/>
        </w:rPr>
        <w:t>1</w:t>
      </w:r>
      <w:bookmarkEnd w:id="16"/>
      <w:r>
        <w:rPr>
          <w:rFonts w:hint="eastAsia" w:ascii="宋体" w:hAnsi="宋体"/>
          <w:b/>
          <w:sz w:val="24"/>
          <w:szCs w:val="24"/>
        </w:rPr>
        <w:t>、采购方式</w:t>
      </w:r>
      <w:bookmarkEnd w:id="17"/>
      <w:bookmarkEnd w:id="18"/>
      <w:bookmarkEnd w:id="1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 本次采购采取竞争性谈判方式，本竞争性谈判采购文件（以下简称“采购文件”）仅适用于采购公告中所述项目。</w:t>
      </w:r>
    </w:p>
    <w:p>
      <w:pPr>
        <w:adjustRightInd w:val="0"/>
        <w:snapToGrid w:val="0"/>
        <w:spacing w:line="360" w:lineRule="auto"/>
        <w:ind w:firstLine="472" w:firstLineChars="196"/>
        <w:rPr>
          <w:rFonts w:ascii="宋体" w:hAnsi="宋体"/>
          <w:b/>
          <w:sz w:val="24"/>
          <w:szCs w:val="24"/>
        </w:rPr>
      </w:pPr>
      <w:bookmarkStart w:id="20" w:name="_Toc513029205"/>
      <w:bookmarkStart w:id="21" w:name="_Toc16938521"/>
      <w:bookmarkStart w:id="22" w:name="_Toc20823277"/>
      <w:r>
        <w:rPr>
          <w:rFonts w:hint="eastAsia" w:ascii="宋体" w:hAnsi="宋体"/>
          <w:b/>
          <w:sz w:val="24"/>
          <w:szCs w:val="24"/>
        </w:rPr>
        <w:t>2、合格的</w:t>
      </w:r>
      <w:bookmarkEnd w:id="20"/>
      <w:bookmarkEnd w:id="21"/>
      <w:bookmarkEnd w:id="22"/>
      <w:r>
        <w:rPr>
          <w:rFonts w:hint="eastAsia" w:ascii="宋体" w:hAnsi="宋体"/>
          <w:b/>
          <w:sz w:val="24"/>
          <w:szCs w:val="24"/>
        </w:rPr>
        <w:t>供应商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1 满足采购公告中合格谈判供应商资格要求的规定。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2 满足本采购文件实质性条款的规定。</w:t>
      </w:r>
    </w:p>
    <w:p>
      <w:pPr>
        <w:adjustRightInd w:val="0"/>
        <w:snapToGrid w:val="0"/>
        <w:spacing w:line="360" w:lineRule="auto"/>
        <w:ind w:firstLine="472" w:firstLineChars="196"/>
        <w:rPr>
          <w:rFonts w:ascii="宋体" w:hAnsi="宋体"/>
          <w:b/>
          <w:sz w:val="24"/>
          <w:szCs w:val="24"/>
        </w:rPr>
      </w:pPr>
      <w:bookmarkStart w:id="23" w:name="_Toc20823278"/>
      <w:bookmarkStart w:id="24" w:name="_Toc16938522"/>
      <w:bookmarkStart w:id="25" w:name="_Toc513029206"/>
      <w:r>
        <w:rPr>
          <w:rFonts w:hint="eastAsia" w:ascii="宋体" w:hAnsi="宋体"/>
          <w:b/>
          <w:sz w:val="24"/>
          <w:szCs w:val="24"/>
        </w:rPr>
        <w:t>3、适用法律</w:t>
      </w:r>
      <w:bookmarkEnd w:id="23"/>
      <w:bookmarkEnd w:id="24"/>
      <w:bookmarkEnd w:id="2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3.1 本次采购及由此产生的合同受中华人民共和国有关的法律法规制约和保护。</w:t>
      </w:r>
    </w:p>
    <w:p>
      <w:pPr>
        <w:adjustRightInd w:val="0"/>
        <w:snapToGrid w:val="0"/>
        <w:spacing w:line="360" w:lineRule="auto"/>
        <w:ind w:firstLine="472" w:firstLineChars="196"/>
        <w:rPr>
          <w:rFonts w:ascii="宋体" w:hAnsi="宋体"/>
          <w:b/>
          <w:sz w:val="24"/>
          <w:szCs w:val="24"/>
        </w:rPr>
      </w:pPr>
      <w:bookmarkStart w:id="26" w:name="_Toc462564067"/>
      <w:bookmarkStart w:id="27" w:name="_Toc513029207"/>
      <w:bookmarkStart w:id="28" w:name="_Toc16938523"/>
      <w:bookmarkStart w:id="29" w:name="_Toc20823279"/>
      <w:r>
        <w:rPr>
          <w:rFonts w:hint="eastAsia" w:ascii="宋体" w:hAnsi="宋体"/>
          <w:b/>
          <w:sz w:val="24"/>
          <w:szCs w:val="24"/>
        </w:rPr>
        <w:t>4、相关费用</w:t>
      </w:r>
      <w:bookmarkEnd w:id="26"/>
      <w:bookmarkEnd w:id="27"/>
      <w:bookmarkEnd w:id="28"/>
      <w:bookmarkEnd w:id="2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4.1 参加谈判供应商（以下简称“供应商”）应自行承担所有与参加谈判采购有关的费用，无论谈判采购过程中的做法和结果如何，南京信息职业技术学院在任何情况下均无义务和责任承担这些费用。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4.2本次谈判南京信息职业技术学院不收取采购文件工本费与服务费。</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5、采购文件的约束力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5.1 供应商一旦下载了本采购文件并决定参加谈判，即被认为接受了本采购文件的规定和约束，并且视为自采购公告发布之日起已经知道或应当知道自身权益是否受到了损害。</w:t>
      </w:r>
    </w:p>
    <w:p>
      <w:pPr>
        <w:adjustRightInd w:val="0"/>
        <w:snapToGrid w:val="0"/>
        <w:spacing w:line="360" w:lineRule="auto"/>
        <w:rPr>
          <w:b/>
          <w:sz w:val="30"/>
          <w:szCs w:val="30"/>
        </w:rPr>
      </w:pPr>
      <w:bookmarkStart w:id="30" w:name="_Toc20823281"/>
      <w:bookmarkStart w:id="31" w:name="_Toc120614215"/>
      <w:bookmarkStart w:id="32" w:name="_Toc16938525"/>
      <w:bookmarkStart w:id="33" w:name="_Toc513029209"/>
      <w:r>
        <w:rPr>
          <w:rFonts w:hint="eastAsia"/>
          <w:b/>
          <w:sz w:val="30"/>
          <w:szCs w:val="30"/>
        </w:rPr>
        <w:t>二、采购文件</w:t>
      </w:r>
      <w:bookmarkEnd w:id="30"/>
      <w:bookmarkEnd w:id="31"/>
      <w:bookmarkEnd w:id="32"/>
      <w:bookmarkEnd w:id="33"/>
    </w:p>
    <w:p>
      <w:pPr>
        <w:adjustRightInd w:val="0"/>
        <w:snapToGrid w:val="0"/>
        <w:spacing w:line="360" w:lineRule="auto"/>
        <w:ind w:firstLine="472" w:firstLineChars="196"/>
        <w:rPr>
          <w:rFonts w:ascii="宋体" w:hAnsi="宋体"/>
          <w:b/>
          <w:sz w:val="24"/>
          <w:szCs w:val="24"/>
        </w:rPr>
      </w:pPr>
      <w:bookmarkStart w:id="34" w:name="_Toc513029210"/>
      <w:bookmarkStart w:id="35" w:name="_Toc20823282"/>
      <w:bookmarkStart w:id="36" w:name="_Toc16938526"/>
      <w:r>
        <w:rPr>
          <w:rFonts w:hint="eastAsia" w:ascii="宋体" w:hAnsi="宋体"/>
          <w:b/>
          <w:sz w:val="24"/>
          <w:szCs w:val="24"/>
        </w:rPr>
        <w:t>6、采购文件构成</w:t>
      </w:r>
      <w:bookmarkEnd w:id="34"/>
      <w:bookmarkEnd w:id="35"/>
      <w:bookmarkEnd w:id="36"/>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6.1 采购文件有以下部分组成：</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（1）竞争性谈判采购公告</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（2）参加谈判供应商须知</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（3）合同条款及格式</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（4）项目需求</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（5）谈判响应文件格式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请供应商仔细检查采购文件是否齐全，如有缺漏请立即与南京信息职业技术学院联系解决。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6.2 供应商应认真阅读采购文件中所有的事项、格式、条款和规范等要求。按采购文件要求和规定编制谈判响应文件，并保证所提供的全部资料的真实性，以使其谈判响应文件对采购文件作出实质性响应，否则其风险由供应商自行承担。</w:t>
      </w:r>
    </w:p>
    <w:p>
      <w:pPr>
        <w:adjustRightInd w:val="0"/>
        <w:snapToGrid w:val="0"/>
        <w:spacing w:line="360" w:lineRule="auto"/>
        <w:ind w:firstLine="472" w:firstLineChars="196"/>
        <w:rPr>
          <w:rFonts w:ascii="宋体" w:hAnsi="宋体"/>
          <w:b/>
          <w:sz w:val="24"/>
          <w:szCs w:val="24"/>
        </w:rPr>
      </w:pPr>
      <w:bookmarkStart w:id="37" w:name="_Toc462564070"/>
      <w:bookmarkStart w:id="38" w:name="_Toc20823283"/>
      <w:bookmarkStart w:id="39" w:name="_Toc513029211"/>
      <w:bookmarkStart w:id="40" w:name="_Toc16938527"/>
      <w:r>
        <w:rPr>
          <w:rFonts w:hint="eastAsia" w:ascii="宋体" w:hAnsi="宋体"/>
          <w:b/>
          <w:sz w:val="24"/>
          <w:szCs w:val="24"/>
        </w:rPr>
        <w:t>7、采购文件的澄清</w:t>
      </w:r>
      <w:bookmarkEnd w:id="37"/>
      <w:bookmarkEnd w:id="38"/>
      <w:bookmarkEnd w:id="39"/>
      <w:bookmarkEnd w:id="40"/>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7.1 任何要求对采购文件进行澄清的供应商，均应在谈判响应文件接收截止时间</w:t>
      </w:r>
      <w:r>
        <w:rPr>
          <w:rFonts w:hint="eastAsia" w:ascii="宋体" w:hAnsi="宋体"/>
          <w:b/>
          <w:sz w:val="24"/>
          <w:szCs w:val="24"/>
        </w:rPr>
        <w:t>三天前</w:t>
      </w:r>
      <w:r>
        <w:rPr>
          <w:rFonts w:hint="eastAsia" w:ascii="宋体" w:hAnsi="宋体"/>
          <w:sz w:val="24"/>
          <w:szCs w:val="24"/>
        </w:rPr>
        <w:t>按采购公告中的通讯地址，以</w:t>
      </w:r>
      <w:r>
        <w:rPr>
          <w:rFonts w:hint="eastAsia" w:ascii="宋体" w:hAnsi="宋体"/>
          <w:b/>
          <w:sz w:val="24"/>
          <w:szCs w:val="24"/>
        </w:rPr>
        <w:t>书面形式</w:t>
      </w:r>
      <w:r>
        <w:rPr>
          <w:rFonts w:hint="eastAsia" w:ascii="宋体" w:hAnsi="宋体"/>
          <w:sz w:val="24"/>
          <w:szCs w:val="24"/>
        </w:rPr>
        <w:t>通知南京信息职业技术学院。南京信息职业技术学院将对谈判响应文件接收截止时间三天前收到的澄清要求予以答复，或将在南京信息职业技术学院校网上予以公告，答复中包括所问问题（但不包括问题的来源）。</w:t>
      </w:r>
    </w:p>
    <w:p>
      <w:pPr>
        <w:adjustRightInd w:val="0"/>
        <w:snapToGrid w:val="0"/>
        <w:spacing w:line="360" w:lineRule="auto"/>
        <w:ind w:firstLine="472" w:firstLineChars="196"/>
        <w:rPr>
          <w:rFonts w:ascii="宋体" w:hAnsi="宋体"/>
          <w:b/>
          <w:sz w:val="24"/>
          <w:szCs w:val="24"/>
        </w:rPr>
      </w:pPr>
      <w:bookmarkStart w:id="41" w:name="_Toc462564071"/>
      <w:bookmarkStart w:id="42" w:name="_Toc513029212"/>
      <w:bookmarkStart w:id="43" w:name="_Toc16938528"/>
      <w:bookmarkStart w:id="44" w:name="_Toc20823284"/>
      <w:r>
        <w:rPr>
          <w:rFonts w:hint="eastAsia" w:ascii="宋体" w:hAnsi="宋体"/>
          <w:b/>
          <w:sz w:val="24"/>
          <w:szCs w:val="24"/>
        </w:rPr>
        <w:t>8、采购文件的修改</w:t>
      </w:r>
      <w:bookmarkEnd w:id="41"/>
      <w:bookmarkEnd w:id="42"/>
      <w:bookmarkEnd w:id="43"/>
      <w:bookmarkEnd w:id="4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8.1 在谈判响应文件接收截止时间三天前，南京信息职业技术学院均可以以补充文件的方式对采购文件进行修改。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8.2南京信息职业技术学院有权按照政府采购的有关要求推迟谈判响应文件接收截止时间和谈判开始时间。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8.3采购文件的修改将在南京信息职业技术学院校网上公布，补充文件将作为采购文件的组成部分，并对供应商具有约束力。</w:t>
      </w:r>
    </w:p>
    <w:p>
      <w:pPr>
        <w:adjustRightInd w:val="0"/>
        <w:snapToGrid w:val="0"/>
        <w:spacing w:line="360" w:lineRule="auto"/>
        <w:rPr>
          <w:b/>
          <w:sz w:val="30"/>
          <w:szCs w:val="30"/>
        </w:rPr>
      </w:pPr>
      <w:bookmarkStart w:id="45" w:name="_Toc462564072"/>
      <w:bookmarkStart w:id="46" w:name="_Toc16938529"/>
      <w:bookmarkStart w:id="47" w:name="_Toc120614216"/>
      <w:bookmarkStart w:id="48" w:name="_Toc20823285"/>
      <w:bookmarkStart w:id="49" w:name="_Toc513029213"/>
      <w:r>
        <w:rPr>
          <w:rFonts w:hint="eastAsia"/>
          <w:b/>
          <w:sz w:val="30"/>
          <w:szCs w:val="30"/>
        </w:rPr>
        <w:t>三、谈判响应文件的编制</w:t>
      </w:r>
      <w:bookmarkEnd w:id="45"/>
      <w:bookmarkEnd w:id="46"/>
      <w:bookmarkEnd w:id="47"/>
      <w:bookmarkEnd w:id="48"/>
      <w:bookmarkEnd w:id="49"/>
    </w:p>
    <w:p>
      <w:pPr>
        <w:adjustRightInd w:val="0"/>
        <w:snapToGrid w:val="0"/>
        <w:spacing w:line="360" w:lineRule="auto"/>
        <w:ind w:firstLine="472" w:firstLineChars="196"/>
        <w:rPr>
          <w:rFonts w:ascii="宋体" w:hAnsi="宋体"/>
          <w:b/>
          <w:sz w:val="24"/>
          <w:szCs w:val="24"/>
        </w:rPr>
      </w:pPr>
      <w:bookmarkStart w:id="50" w:name="_Toc16938530"/>
      <w:bookmarkStart w:id="51" w:name="_Toc20823286"/>
      <w:bookmarkStart w:id="52" w:name="_Toc462564073"/>
      <w:bookmarkStart w:id="53" w:name="_Toc513029214"/>
      <w:r>
        <w:rPr>
          <w:rFonts w:hint="eastAsia" w:ascii="宋体" w:hAnsi="宋体"/>
          <w:b/>
          <w:sz w:val="24"/>
          <w:szCs w:val="24"/>
        </w:rPr>
        <w:t>9、谈判响应文件的语言及度量衡单位</w:t>
      </w:r>
      <w:bookmarkEnd w:id="50"/>
      <w:bookmarkEnd w:id="51"/>
      <w:bookmarkEnd w:id="52"/>
      <w:bookmarkEnd w:id="5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9.1 供应商提交的谈判响应文件以及供应商与南京信息职业技术学院就有关谈判采购的所有来往通知、函件和文件均应使用</w:t>
      </w:r>
      <w:r>
        <w:rPr>
          <w:rFonts w:hint="eastAsia" w:ascii="宋体" w:hAnsi="宋体"/>
          <w:b/>
          <w:sz w:val="24"/>
          <w:szCs w:val="24"/>
        </w:rPr>
        <w:t>简体中文</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9.2 除技术性能另有规定外，谈判响应文件所使用的度量衡单位，均须采用国家法定计量单位。</w:t>
      </w:r>
    </w:p>
    <w:p>
      <w:pPr>
        <w:adjustRightInd w:val="0"/>
        <w:snapToGrid w:val="0"/>
        <w:spacing w:line="360" w:lineRule="auto"/>
        <w:ind w:firstLine="472" w:firstLineChars="196"/>
        <w:rPr>
          <w:rFonts w:ascii="宋体" w:hAnsi="宋体"/>
          <w:b/>
          <w:sz w:val="24"/>
          <w:szCs w:val="24"/>
        </w:rPr>
      </w:pPr>
      <w:bookmarkStart w:id="54" w:name="_Toc513029215"/>
      <w:bookmarkStart w:id="55" w:name="_Toc20823287"/>
      <w:bookmarkStart w:id="56" w:name="_Toc16938531"/>
      <w:bookmarkStart w:id="57" w:name="_Toc462564074"/>
      <w:r>
        <w:rPr>
          <w:rFonts w:hint="eastAsia" w:ascii="宋体" w:hAnsi="宋体"/>
          <w:b/>
          <w:sz w:val="24"/>
          <w:szCs w:val="24"/>
        </w:rPr>
        <w:t>10、谈判响应文件构成</w:t>
      </w:r>
      <w:bookmarkEnd w:id="54"/>
      <w:bookmarkEnd w:id="55"/>
      <w:bookmarkEnd w:id="56"/>
      <w:bookmarkEnd w:id="57"/>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10.1 供应商编写的谈判响应文件应包括资信证明文件、配置与分项报价表、供货一览表、技术参数响应及偏离表、商务条款响应及偏离表、技术及售后服务承诺书和谈判响应函等部分；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10.2 供应商应将谈判响应文件按顺序装订成册，并编制谈判响应文件资料目录。</w:t>
      </w:r>
    </w:p>
    <w:p>
      <w:pPr>
        <w:adjustRightInd w:val="0"/>
        <w:snapToGrid w:val="0"/>
        <w:spacing w:line="360" w:lineRule="auto"/>
        <w:ind w:firstLine="472" w:firstLineChars="196"/>
        <w:rPr>
          <w:rFonts w:ascii="宋体" w:hAnsi="宋体"/>
          <w:b/>
          <w:sz w:val="24"/>
          <w:szCs w:val="24"/>
        </w:rPr>
      </w:pPr>
      <w:bookmarkStart w:id="58" w:name="_Hlt26670360"/>
      <w:bookmarkEnd w:id="58"/>
      <w:bookmarkStart w:id="59" w:name="_Hlt26668975"/>
      <w:bookmarkEnd w:id="59"/>
      <w:bookmarkStart w:id="60" w:name="_Hlt26954838"/>
      <w:bookmarkEnd w:id="60"/>
      <w:bookmarkStart w:id="61" w:name="_Toc513029219"/>
      <w:bookmarkStart w:id="62" w:name="_Toc14577357"/>
      <w:bookmarkStart w:id="63" w:name="_Toc49090509"/>
      <w:bookmarkStart w:id="64" w:name="_Toc49090507"/>
      <w:bookmarkStart w:id="65" w:name="_Toc14577354"/>
      <w:bookmarkStart w:id="66" w:name="_Toc513029216"/>
      <w:r>
        <w:rPr>
          <w:rFonts w:hint="eastAsia" w:ascii="宋体" w:hAnsi="宋体"/>
          <w:b/>
          <w:sz w:val="24"/>
          <w:szCs w:val="24"/>
        </w:rPr>
        <w:t>11、证明供应商资格及符合采购文件规定的文件</w:t>
      </w:r>
      <w:bookmarkEnd w:id="61"/>
      <w:bookmarkEnd w:id="62"/>
      <w:bookmarkEnd w:id="63"/>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11.1</w:t>
      </w:r>
      <w:bookmarkStart w:id="67" w:name="_Hlt26668999"/>
      <w:bookmarkEnd w:id="67"/>
      <w:r>
        <w:rPr>
          <w:rFonts w:hint="eastAsia" w:ascii="宋体" w:hAnsi="宋体"/>
          <w:sz w:val="24"/>
          <w:szCs w:val="24"/>
        </w:rPr>
        <w:t>供应商应按要求提交资格证明文件及符合采购文件规定的文件。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11.2供应商应提交证明其有资格参加谈判和成交后有能力独立履行合同的文件。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11.3供应商除必须具有履行合同所需提供的货物以及服务的能力外，还必须具备相应的财务、技术方面的能力。</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11.4供应商应提交根据合同要求提供的证明产品质量合格以及符合采购文件规定的证明文件。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11.5证明供应商所提供货物与采购文件的要求相一致的含有技术参数的彩色样本。</w:t>
      </w:r>
    </w:p>
    <w:bookmarkEnd w:id="64"/>
    <w:bookmarkEnd w:id="65"/>
    <w:bookmarkEnd w:id="66"/>
    <w:p>
      <w:pPr>
        <w:adjustRightInd w:val="0"/>
        <w:snapToGrid w:val="0"/>
        <w:spacing w:line="360" w:lineRule="auto"/>
        <w:ind w:firstLine="472" w:firstLineChars="196"/>
        <w:rPr>
          <w:rFonts w:ascii="宋体" w:hAnsi="宋体"/>
          <w:b/>
          <w:sz w:val="24"/>
          <w:szCs w:val="24"/>
        </w:rPr>
      </w:pPr>
      <w:bookmarkStart w:id="68" w:name="_Toc14577355"/>
      <w:bookmarkStart w:id="69" w:name="_Toc49090508"/>
      <w:r>
        <w:rPr>
          <w:rFonts w:hint="eastAsia" w:ascii="宋体" w:hAnsi="宋体"/>
          <w:b/>
          <w:sz w:val="24"/>
          <w:szCs w:val="24"/>
        </w:rPr>
        <w:t>12、供货一览表和</w:t>
      </w:r>
      <w:bookmarkEnd w:id="68"/>
      <w:r>
        <w:rPr>
          <w:rFonts w:hint="eastAsia" w:ascii="宋体" w:hAnsi="宋体"/>
          <w:b/>
          <w:sz w:val="24"/>
          <w:szCs w:val="24"/>
        </w:rPr>
        <w:t>配置与分项报价表</w:t>
      </w:r>
      <w:bookmarkEnd w:id="6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12.1 供应商应按照采购文件规定格式填报供货一览表、配置与分项报价表</w:t>
      </w:r>
      <w:bookmarkStart w:id="70" w:name="_Hlt26670399"/>
      <w:bookmarkEnd w:id="70"/>
      <w:r>
        <w:rPr>
          <w:rFonts w:hint="eastAsia" w:ascii="宋体" w:hAnsi="宋体"/>
          <w:sz w:val="24"/>
          <w:szCs w:val="24"/>
        </w:rPr>
        <w:t>，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12.2 标的物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南京信息职业技术学院需求的货物供应、安装，调试及有关技术服务等。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12.3有关费用处理</w:t>
      </w:r>
    </w:p>
    <w:p>
      <w:pPr>
        <w:adjustRightInd w:val="0"/>
        <w:snapToGrid w:val="0"/>
        <w:spacing w:line="360" w:lineRule="auto"/>
        <w:ind w:firstLine="482" w:firstLineChars="200"/>
        <w:rPr>
          <w:rFonts w:ascii="宋体" w:hAnsi="宋体"/>
          <w:sz w:val="24"/>
          <w:szCs w:val="24"/>
        </w:rPr>
      </w:pPr>
      <w:r>
        <w:rPr>
          <w:rFonts w:hint="eastAsia" w:ascii="宋体" w:hAnsi="宋体"/>
          <w:b/>
          <w:sz w:val="24"/>
          <w:szCs w:val="24"/>
        </w:rPr>
        <w:t>谈判报价采用总承包方式</w:t>
      </w:r>
      <w:r>
        <w:rPr>
          <w:rFonts w:hint="eastAsia" w:ascii="宋体" w:hAnsi="宋体"/>
          <w:sz w:val="24"/>
          <w:szCs w:val="24"/>
        </w:rPr>
        <w:t>，因此供应商的报价应包括所报产品费用、安装调试费、测试验收费、培训费、运行维护费用、税金、国际国内运输保险、报关清关、开证、办理全套免税手续费用及其他有关的为完成本项目发生的所有费用，采购文件中另有规定的除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12.4其它费用处理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采购文件未列明，而供应商认为必需的费用也需列入报价。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12.5报价采用的货币</w:t>
      </w:r>
    </w:p>
    <w:p>
      <w:pPr>
        <w:pStyle w:val="13"/>
        <w:snapToGrid w:val="0"/>
        <w:spacing w:line="360" w:lineRule="auto"/>
        <w:ind w:firstLine="480" w:firstLineChars="200"/>
        <w:rPr>
          <w:rFonts w:hAnsi="宋体" w:cs="Times New Roman"/>
          <w:color w:val="000000"/>
          <w:sz w:val="24"/>
          <w:szCs w:val="24"/>
          <w:lang w:val="zh-CN"/>
        </w:rPr>
      </w:pPr>
      <w:r>
        <w:rPr>
          <w:rFonts w:hint="eastAsia" w:hAnsi="宋体"/>
          <w:color w:val="000000"/>
          <w:sz w:val="24"/>
          <w:szCs w:val="24"/>
          <w:lang w:val="zh-CN"/>
        </w:rPr>
        <w:t>谈判文件中的国产与进口货物单价和总价均采用</w:t>
      </w:r>
      <w:r>
        <w:rPr>
          <w:rFonts w:hint="eastAsia" w:hAnsi="宋体"/>
          <w:b/>
          <w:color w:val="000000"/>
          <w:sz w:val="24"/>
          <w:szCs w:val="24"/>
          <w:lang w:val="zh-CN"/>
        </w:rPr>
        <w:t>人民币</w:t>
      </w:r>
      <w:r>
        <w:rPr>
          <w:rFonts w:hint="eastAsia" w:hAnsi="宋体"/>
          <w:color w:val="000000"/>
          <w:sz w:val="24"/>
          <w:szCs w:val="24"/>
          <w:lang w:val="zh-CN"/>
        </w:rPr>
        <w:t>报价，以万元为单位标注。</w:t>
      </w:r>
      <w:r>
        <w:rPr>
          <w:rFonts w:hint="eastAsia" w:hAnsi="宋体" w:cs="Times New Roman"/>
          <w:color w:val="000000"/>
          <w:sz w:val="24"/>
          <w:szCs w:val="24"/>
          <w:lang w:val="zh-CN"/>
        </w:rPr>
        <w:t>进口设备采用CIF南京港美元报价（所有的货物和服务），外贸代理公司由买方指定，国际国内运输保险、报关清关、开证、办理全套免税手续等工作均由指定外贸代理公司负责，所发生的费用按实计算，评标时进口设备报价按美元折合人民币1：6.5（本项目进口设备可免税）计算参与评标（该折算价仅作为评审时各供应商报价比较的依据，不作为合同签订的依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12.6 配置与分项报价表上的价格应按下列方式分开填写：</w:t>
      </w:r>
    </w:p>
    <w:p>
      <w:pPr>
        <w:adjustRightInd w:val="0"/>
        <w:snapToGrid w:val="0"/>
        <w:spacing w:line="360" w:lineRule="auto"/>
        <w:ind w:firstLine="480" w:firstLineChars="200"/>
        <w:rPr>
          <w:rFonts w:ascii="宋体" w:hAnsi="宋体"/>
          <w:sz w:val="24"/>
          <w:szCs w:val="24"/>
        </w:rPr>
      </w:pPr>
      <w:bookmarkStart w:id="71" w:name="_Hlt26954842"/>
      <w:bookmarkEnd w:id="71"/>
      <w:bookmarkStart w:id="72" w:name="_Hlt26954844"/>
      <w:bookmarkEnd w:id="72"/>
      <w:bookmarkStart w:id="73" w:name="_Hlt26670425"/>
      <w:bookmarkEnd w:id="73"/>
      <w:bookmarkStart w:id="74" w:name="_Hlt26668983"/>
      <w:bookmarkEnd w:id="74"/>
      <w:bookmarkStart w:id="75" w:name="_Hlt26670403"/>
      <w:bookmarkEnd w:id="75"/>
      <w:r>
        <w:rPr>
          <w:rFonts w:hint="eastAsia" w:ascii="宋体" w:hAnsi="宋体"/>
          <w:sz w:val="24"/>
          <w:szCs w:val="24"/>
        </w:rPr>
        <w:t>项目总价：包括买方需求的设备价格、质量保证费用、培训费用及售后服务费用，项目在指定地点、环境交付、安装、调试、验收所需费用和所有相关税金费用及为完成整个项目所产生的其它所有费用。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项目单价：按配置与分项报价表中要求填报。</w:t>
      </w:r>
    </w:p>
    <w:p>
      <w:pPr>
        <w:adjustRightInd w:val="0"/>
        <w:snapToGrid w:val="0"/>
        <w:spacing w:line="360" w:lineRule="auto"/>
        <w:ind w:firstLine="482" w:firstLineChars="200"/>
        <w:rPr>
          <w:rFonts w:ascii="宋体" w:hAnsi="宋体"/>
          <w:b/>
          <w:sz w:val="24"/>
          <w:szCs w:val="24"/>
        </w:rPr>
      </w:pPr>
      <w:bookmarkStart w:id="76" w:name="_Hlt26954731"/>
      <w:bookmarkEnd w:id="76"/>
      <w:bookmarkStart w:id="77" w:name="_Hlt26670486"/>
      <w:bookmarkEnd w:id="77"/>
      <w:bookmarkStart w:id="78" w:name="_Hlt26670482"/>
      <w:bookmarkEnd w:id="78"/>
      <w:bookmarkStart w:id="79" w:name="_Hlt26954846"/>
      <w:bookmarkEnd w:id="79"/>
      <w:bookmarkStart w:id="80" w:name="_Hlt26954848"/>
      <w:bookmarkEnd w:id="80"/>
      <w:r>
        <w:rPr>
          <w:rFonts w:hint="eastAsia" w:ascii="宋体" w:hAnsi="宋体"/>
          <w:b/>
          <w:sz w:val="24"/>
          <w:szCs w:val="24"/>
        </w:rPr>
        <w:t>13、技术参数响应及偏离表、商务条款响应及偏离表及货物说明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13.1 对采购文件中的技术与商务条款要求逐项作出响应或偏离，并说明原因；</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13.2 提供参加本项目类似案例简介；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13.3 培训计划；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13.4 详细阐述所投货物的主要组成部分、功能设计、实现思路及关键技术；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13.5 供应商认为需要的其他技术文件或说明。</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14、服务承诺及售后服务机构、人员的情况介绍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14.1 供应商的服务承诺应按不低于采购文件中商务要求的标准。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14.2 提供供应商有关售后服务的管理制度、售后服务机构的分布情况、售后服务人员的数量、素质、技术水平及售后服务的反应能力。</w:t>
      </w:r>
    </w:p>
    <w:p>
      <w:pPr>
        <w:adjustRightInd w:val="0"/>
        <w:snapToGrid w:val="0"/>
        <w:spacing w:line="360" w:lineRule="auto"/>
        <w:ind w:firstLine="472" w:firstLineChars="196"/>
        <w:rPr>
          <w:rFonts w:ascii="宋体" w:hAnsi="宋体"/>
          <w:b/>
          <w:sz w:val="24"/>
          <w:szCs w:val="24"/>
        </w:rPr>
      </w:pPr>
      <w:bookmarkStart w:id="81" w:name="_Toc49090510"/>
      <w:bookmarkStart w:id="82" w:name="_Toc14577359"/>
      <w:r>
        <w:rPr>
          <w:rFonts w:hint="eastAsia" w:ascii="宋体" w:hAnsi="宋体"/>
          <w:b/>
          <w:sz w:val="24"/>
          <w:szCs w:val="24"/>
        </w:rPr>
        <w:t>15、谈判响应函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15.1 供应商应按照采购文件中提供的格式完整、正确填写谈判响应函。</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16、谈判保证金</w:t>
      </w:r>
      <w:bookmarkEnd w:id="81"/>
      <w:bookmarkEnd w:id="82"/>
    </w:p>
    <w:p>
      <w:pPr>
        <w:spacing w:line="500" w:lineRule="exact"/>
        <w:ind w:firstLine="480" w:firstLineChars="200"/>
        <w:rPr>
          <w:rFonts w:ascii="宋体" w:hAnsi="宋体"/>
          <w:bCs/>
          <w:color w:val="000000"/>
          <w:sz w:val="24"/>
        </w:rPr>
      </w:pPr>
      <w:r>
        <w:rPr>
          <w:rFonts w:hint="eastAsia" w:ascii="宋体" w:hAnsi="宋体"/>
          <w:color w:val="000000"/>
          <w:sz w:val="24"/>
        </w:rPr>
        <w:t>16.1</w:t>
      </w:r>
      <w:r>
        <w:rPr>
          <w:rFonts w:hint="eastAsia" w:ascii="宋体" w:hAnsi="宋体"/>
          <w:bCs/>
          <w:color w:val="000000"/>
          <w:sz w:val="24"/>
        </w:rPr>
        <w:t xml:space="preserve"> 供应商提交的谈判保证金必须在谈判响应文件接收截止时间前送达，并作为其参加谈判的组成部分。</w:t>
      </w:r>
    </w:p>
    <w:p>
      <w:pPr>
        <w:spacing w:line="500" w:lineRule="exact"/>
        <w:ind w:firstLine="480" w:firstLineChars="200"/>
        <w:rPr>
          <w:rFonts w:ascii="宋体" w:hAnsi="宋体"/>
          <w:bCs/>
          <w:color w:val="000000"/>
          <w:sz w:val="24"/>
          <w:szCs w:val="24"/>
        </w:rPr>
      </w:pPr>
      <w:r>
        <w:rPr>
          <w:rFonts w:hint="eastAsia" w:ascii="宋体" w:hAnsi="宋体"/>
          <w:color w:val="000000"/>
          <w:sz w:val="24"/>
        </w:rPr>
        <w:t>16.2</w:t>
      </w:r>
      <w:r>
        <w:rPr>
          <w:rFonts w:hint="eastAsia" w:ascii="宋体" w:hAnsi="宋体"/>
          <w:bCs/>
          <w:color w:val="000000"/>
          <w:sz w:val="24"/>
        </w:rPr>
        <w:t xml:space="preserve"> 谈判保证金是为了保护南京信息职业技术学院免遭因供应商的行为而蒙受的损失，南京信息职业技术学院在因供应商的行为遭受损失时，可根据第16.6条的规定没收供应商的谈判保证金。</w:t>
      </w:r>
    </w:p>
    <w:p>
      <w:pPr>
        <w:spacing w:line="500" w:lineRule="exact"/>
        <w:ind w:firstLine="480" w:firstLineChars="200"/>
        <w:rPr>
          <w:rFonts w:ascii="宋体" w:hAnsi="宋体"/>
          <w:bCs/>
          <w:color w:val="000000"/>
          <w:sz w:val="24"/>
        </w:rPr>
      </w:pPr>
      <w:r>
        <w:rPr>
          <w:rFonts w:hint="eastAsia" w:ascii="宋体" w:hAnsi="宋体"/>
          <w:color w:val="000000"/>
          <w:sz w:val="24"/>
        </w:rPr>
        <w:t>16.3</w:t>
      </w:r>
      <w:r>
        <w:rPr>
          <w:rFonts w:hint="eastAsia" w:ascii="宋体" w:hAnsi="宋体"/>
          <w:bCs/>
          <w:color w:val="000000"/>
          <w:sz w:val="24"/>
        </w:rPr>
        <w:t xml:space="preserve"> 在谈判开始时，对于未按要求提交谈判保证金的谈判响应文件，将被视为非响应性谈判响应文件而予以拒绝。</w:t>
      </w:r>
    </w:p>
    <w:p>
      <w:pPr>
        <w:spacing w:line="500" w:lineRule="exact"/>
        <w:ind w:firstLine="480" w:firstLineChars="200"/>
        <w:rPr>
          <w:rFonts w:ascii="宋体" w:hAnsi="宋体"/>
          <w:bCs/>
          <w:color w:val="000000"/>
          <w:sz w:val="24"/>
        </w:rPr>
      </w:pPr>
      <w:r>
        <w:rPr>
          <w:rFonts w:hint="eastAsia" w:ascii="宋体" w:hAnsi="宋体"/>
          <w:color w:val="000000"/>
          <w:sz w:val="24"/>
        </w:rPr>
        <w:t>16.4</w:t>
      </w:r>
      <w:r>
        <w:rPr>
          <w:rFonts w:hint="eastAsia" w:ascii="宋体" w:hAnsi="宋体"/>
          <w:b/>
          <w:color w:val="000000"/>
          <w:sz w:val="24"/>
        </w:rPr>
        <w:t xml:space="preserve"> </w:t>
      </w:r>
      <w:r>
        <w:rPr>
          <w:rFonts w:hint="eastAsia" w:ascii="宋体" w:hAnsi="宋体"/>
          <w:bCs/>
          <w:color w:val="000000"/>
          <w:sz w:val="24"/>
        </w:rPr>
        <w:t>未成交的供应商的谈判保证金，将在成交通知书发出后五(5)个工作内</w:t>
      </w:r>
      <w:r>
        <w:rPr>
          <w:rFonts w:hint="eastAsia" w:ascii="宋体" w:hAnsi="宋体"/>
          <w:color w:val="000000"/>
          <w:sz w:val="24"/>
          <w:szCs w:val="24"/>
        </w:rPr>
        <w:t>凭南京信息职业技术学院经办人签署意见的保证金收条</w:t>
      </w:r>
      <w:r>
        <w:rPr>
          <w:rFonts w:hint="eastAsia" w:ascii="宋体" w:hAnsi="宋体"/>
          <w:bCs/>
          <w:color w:val="000000"/>
          <w:sz w:val="24"/>
        </w:rPr>
        <w:t>予以退还，不计利息。</w:t>
      </w:r>
    </w:p>
    <w:p>
      <w:pPr>
        <w:spacing w:line="500" w:lineRule="exact"/>
        <w:ind w:firstLine="480" w:firstLineChars="200"/>
        <w:rPr>
          <w:rFonts w:ascii="宋体" w:hAnsi="宋体"/>
          <w:bCs/>
          <w:color w:val="000000"/>
          <w:sz w:val="24"/>
        </w:rPr>
      </w:pPr>
      <w:r>
        <w:rPr>
          <w:rFonts w:hint="eastAsia" w:ascii="宋体" w:hAnsi="宋体"/>
          <w:color w:val="000000"/>
          <w:sz w:val="24"/>
        </w:rPr>
        <w:t>16.5</w:t>
      </w:r>
      <w:r>
        <w:rPr>
          <w:rFonts w:hint="eastAsia" w:ascii="宋体" w:hAnsi="宋体"/>
          <w:bCs/>
          <w:color w:val="000000"/>
          <w:sz w:val="24"/>
        </w:rPr>
        <w:t xml:space="preserve"> 成交人的谈判保证金，将自动转为履约保证金。</w:t>
      </w:r>
    </w:p>
    <w:p>
      <w:pPr>
        <w:spacing w:line="500" w:lineRule="exact"/>
        <w:ind w:firstLine="480" w:firstLineChars="200"/>
        <w:rPr>
          <w:rFonts w:ascii="宋体" w:hAnsi="宋体"/>
          <w:bCs/>
          <w:color w:val="000000"/>
          <w:sz w:val="24"/>
        </w:rPr>
      </w:pPr>
      <w:r>
        <w:rPr>
          <w:rFonts w:hint="eastAsia" w:ascii="宋体" w:hAnsi="宋体"/>
          <w:color w:val="000000"/>
          <w:sz w:val="24"/>
        </w:rPr>
        <w:t>16.6</w:t>
      </w:r>
      <w:r>
        <w:rPr>
          <w:rFonts w:hint="eastAsia" w:ascii="宋体" w:hAnsi="宋体"/>
          <w:bCs/>
          <w:color w:val="000000"/>
          <w:sz w:val="24"/>
        </w:rPr>
        <w:t xml:space="preserve"> 下列任何情况发生时，谈判保证金将被没收：</w:t>
      </w:r>
    </w:p>
    <w:p>
      <w:pPr>
        <w:spacing w:line="500" w:lineRule="exact"/>
        <w:ind w:firstLine="360" w:firstLineChars="150"/>
        <w:rPr>
          <w:rFonts w:ascii="宋体" w:hAnsi="宋体"/>
          <w:bCs/>
          <w:color w:val="000000"/>
          <w:sz w:val="24"/>
        </w:rPr>
      </w:pPr>
      <w:r>
        <w:rPr>
          <w:rFonts w:hint="eastAsia" w:ascii="宋体" w:hAnsi="宋体"/>
          <w:bCs/>
          <w:color w:val="000000"/>
          <w:sz w:val="24"/>
        </w:rPr>
        <w:t>（1） 供应商在谈判有效期内撤回其谈判响应文件；</w:t>
      </w:r>
    </w:p>
    <w:p>
      <w:pPr>
        <w:spacing w:line="500" w:lineRule="exact"/>
        <w:ind w:firstLine="360" w:firstLineChars="150"/>
        <w:rPr>
          <w:rFonts w:ascii="宋体" w:hAnsi="宋体"/>
          <w:bCs/>
          <w:color w:val="000000"/>
          <w:sz w:val="24"/>
        </w:rPr>
      </w:pPr>
      <w:r>
        <w:rPr>
          <w:rFonts w:hint="eastAsia" w:ascii="宋体" w:hAnsi="宋体"/>
          <w:bCs/>
          <w:color w:val="000000"/>
          <w:sz w:val="24"/>
        </w:rPr>
        <w:t>（2） 供应商提供的有关资料、资格证明文件被确认是不真实的；</w:t>
      </w: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（3） 供应商之间被证实有串通（统一哄抬价格）、欺诈行为；</w:t>
      </w:r>
    </w:p>
    <w:p>
      <w:pPr>
        <w:spacing w:line="480" w:lineRule="exact"/>
        <w:ind w:left="1" w:firstLine="357" w:firstLineChars="149"/>
        <w:rPr>
          <w:rFonts w:ascii="宋体" w:hAnsi="宋体"/>
          <w:color w:val="000000"/>
          <w:sz w:val="24"/>
          <w:szCs w:val="24"/>
        </w:rPr>
      </w:pPr>
      <w:r>
        <w:rPr>
          <w:rFonts w:hint="eastAsia" w:ascii="宋体" w:hAnsi="宋体"/>
          <w:color w:val="000000"/>
          <w:sz w:val="24"/>
          <w:szCs w:val="24"/>
        </w:rPr>
        <w:t>（4） 供应商被证明有妨碍其他人公平竞争、损害南京信息职业技术学院或者其他供应商合法权益的；</w:t>
      </w: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（5） 与谈判专家或南京信息职业技术学院相关工作人员恶意串通，或</w:t>
      </w:r>
      <w:r>
        <w:rPr>
          <w:rFonts w:hint="eastAsia" w:ascii="宋体" w:hAnsi="宋体"/>
          <w:color w:val="000000"/>
          <w:sz w:val="24"/>
        </w:rPr>
        <w:t>向谈判专家、南京信息职业技术学院相关工作人员行贿或者提供其他不正当利益的；</w:t>
      </w: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（6） 成交人在规定期限内未能根据规定签订合同的；</w:t>
      </w:r>
    </w:p>
    <w:p>
      <w:pPr>
        <w:adjustRightInd w:val="0"/>
        <w:snapToGrid w:val="0"/>
        <w:spacing w:line="360" w:lineRule="auto"/>
        <w:ind w:firstLine="472" w:firstLineChars="196"/>
        <w:rPr>
          <w:rFonts w:ascii="宋体" w:hAnsi="宋体"/>
          <w:b/>
          <w:sz w:val="24"/>
          <w:szCs w:val="24"/>
        </w:rPr>
      </w:pPr>
      <w:bookmarkStart w:id="83" w:name="_Hlt26670489"/>
      <w:bookmarkEnd w:id="83"/>
      <w:bookmarkStart w:id="84" w:name="_Hlt26954734"/>
      <w:bookmarkEnd w:id="84"/>
      <w:bookmarkStart w:id="85" w:name="_Hlt26954850"/>
      <w:bookmarkEnd w:id="85"/>
      <w:bookmarkStart w:id="86" w:name="_Toc14577360"/>
      <w:bookmarkStart w:id="87" w:name="_Toc49090511"/>
      <w:r>
        <w:rPr>
          <w:rFonts w:hint="eastAsia" w:ascii="宋体" w:hAnsi="宋体"/>
          <w:b/>
          <w:sz w:val="24"/>
          <w:szCs w:val="24"/>
        </w:rPr>
        <w:t>17、谈判有效期</w:t>
      </w:r>
      <w:bookmarkEnd w:id="86"/>
      <w:bookmarkEnd w:id="87"/>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17.1</w:t>
      </w:r>
      <w:r>
        <w:rPr>
          <w:rFonts w:hint="eastAsia" w:ascii="宋体" w:hAnsi="宋体"/>
          <w:i/>
          <w:sz w:val="24"/>
          <w:szCs w:val="24"/>
          <w:u w:val="thick"/>
        </w:rPr>
        <w:t xml:space="preserve"> </w:t>
      </w:r>
      <w:r>
        <w:rPr>
          <w:rFonts w:hint="eastAsia" w:ascii="宋体" w:hAnsi="宋体"/>
          <w:sz w:val="24"/>
          <w:szCs w:val="24"/>
        </w:rPr>
        <w:t>谈判有效期为南京信息职业技术学院规定的谈判响应文件接收截止之日后六十（60）天。谈判有效期比规定短的将被视为非响应性文件而予以拒绝。</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17.2 在特殊情况下，南京信息职业技术学院于原谈判有效期满之前，可向供应商提出延长谈判有效期的要求。这种要求与答复均应采用书面形式。供应商可以拒绝南京信息职业技术学院的这一要求而放弃参加谈判，但必须以书面形式答复。同意延长谈判有效期的供应商既不能要求也不允许修改其谈判响应文件。</w:t>
      </w:r>
    </w:p>
    <w:p>
      <w:pPr>
        <w:adjustRightInd w:val="0"/>
        <w:snapToGrid w:val="0"/>
        <w:spacing w:line="360" w:lineRule="auto"/>
        <w:ind w:firstLine="472" w:firstLineChars="196"/>
        <w:rPr>
          <w:rFonts w:ascii="宋体" w:hAnsi="宋体"/>
          <w:b/>
          <w:sz w:val="24"/>
          <w:szCs w:val="24"/>
        </w:rPr>
      </w:pPr>
      <w:bookmarkStart w:id="88" w:name="_Hlt26954739"/>
      <w:bookmarkEnd w:id="88"/>
      <w:bookmarkStart w:id="89" w:name="_Hlt26954852"/>
      <w:bookmarkEnd w:id="89"/>
      <w:bookmarkStart w:id="90" w:name="_Toc14577361"/>
      <w:bookmarkStart w:id="91" w:name="_Toc49090512"/>
      <w:r>
        <w:rPr>
          <w:rFonts w:hint="eastAsia" w:ascii="宋体" w:hAnsi="宋体"/>
          <w:b/>
          <w:sz w:val="24"/>
          <w:szCs w:val="24"/>
        </w:rPr>
        <w:t>18、谈判响应文件份数和签署</w:t>
      </w:r>
      <w:bookmarkEnd w:id="90"/>
      <w:bookmarkEnd w:id="91"/>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18.1 供应商应严格按照采购公告要求的份数准备谈判响应文件，每份谈判响应文件须清楚地标明“正本”或“副本”字样。一旦正本和副本不符，以正本为准。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18.2 谈判响应文件的正本和所有的副本均需打印或复印，正本由供应商法定代表人或其授权代表签字。授权代表须将法定代表人以书面形式出具的“法定代表人授权书”（原件）附在正本谈判响应文件中。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18.3 除供应商对错处做必要修改外，谈判响应文件不得行间插字、涂改或增删。如有修改错漏处，必须由谈判响应文件签署人签字或盖章。</w:t>
      </w:r>
    </w:p>
    <w:p>
      <w:pPr>
        <w:adjustRightInd w:val="0"/>
        <w:snapToGrid w:val="0"/>
        <w:spacing w:line="360" w:lineRule="auto"/>
        <w:rPr>
          <w:b/>
          <w:sz w:val="30"/>
          <w:szCs w:val="30"/>
        </w:rPr>
      </w:pPr>
      <w:bookmarkStart w:id="92" w:name="_Toc513029224"/>
      <w:bookmarkStart w:id="93" w:name="_Toc16938540"/>
      <w:bookmarkStart w:id="94" w:name="_Toc20823296"/>
      <w:bookmarkStart w:id="95" w:name="_Toc120614217"/>
      <w:r>
        <w:rPr>
          <w:rFonts w:hint="eastAsia"/>
          <w:b/>
          <w:sz w:val="30"/>
          <w:szCs w:val="30"/>
        </w:rPr>
        <w:t>四、谈判响应文件的递交</w:t>
      </w:r>
      <w:bookmarkEnd w:id="92"/>
      <w:bookmarkEnd w:id="93"/>
      <w:bookmarkEnd w:id="94"/>
      <w:bookmarkEnd w:id="95"/>
    </w:p>
    <w:p>
      <w:pPr>
        <w:adjustRightInd w:val="0"/>
        <w:snapToGrid w:val="0"/>
        <w:spacing w:line="360" w:lineRule="auto"/>
        <w:ind w:firstLine="472" w:firstLineChars="196"/>
        <w:rPr>
          <w:rFonts w:ascii="宋体" w:hAnsi="宋体"/>
          <w:b/>
          <w:sz w:val="24"/>
          <w:szCs w:val="24"/>
        </w:rPr>
      </w:pPr>
      <w:bookmarkStart w:id="96" w:name="_Toc462564084"/>
      <w:bookmarkStart w:id="97" w:name="_Toc513029225"/>
      <w:bookmarkStart w:id="98" w:name="_Toc16938541"/>
      <w:bookmarkStart w:id="99" w:name="_Toc20823297"/>
      <w:r>
        <w:rPr>
          <w:rFonts w:hint="eastAsia" w:ascii="宋体" w:hAnsi="宋体"/>
          <w:b/>
          <w:sz w:val="24"/>
          <w:szCs w:val="24"/>
        </w:rPr>
        <w:t>19、谈判响应文件的密封和标记</w:t>
      </w:r>
      <w:bookmarkEnd w:id="96"/>
      <w:bookmarkEnd w:id="97"/>
      <w:bookmarkEnd w:id="98"/>
      <w:bookmarkEnd w:id="9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19.1供应商应将谈判响应文件正本和所有副本密封，并加盖供应商公章。不论供应商成交与否，谈判响应文件均不退回。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19.2 密封的谈判响应文件应：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 注明供应商名称，如因标注不清而产生的后果由供应商自负。按采购公告中注明的地址送达；</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 注明项目名称、项目编号及“请勿在*年*月*日*时整（谈判响应文件接收截止时间）之前启封”的字样。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19.3 如果谈判响应文件被宣布为“迟到”谈判时，应原封退回。</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19.4 未按要求密封和加写标记，南京信息职业技术学院对误投或过早启封概不负责。对由此造成提前开封的谈判响应文件，南京信息职业技术学院将予以拒绝，作非响应性文件处理。</w:t>
      </w:r>
    </w:p>
    <w:p>
      <w:pPr>
        <w:adjustRightInd w:val="0"/>
        <w:snapToGrid w:val="0"/>
        <w:spacing w:line="360" w:lineRule="auto"/>
        <w:ind w:firstLine="470" w:firstLineChars="195"/>
        <w:rPr>
          <w:rFonts w:ascii="宋体" w:hAnsi="宋体"/>
          <w:b/>
          <w:sz w:val="24"/>
          <w:szCs w:val="24"/>
        </w:rPr>
      </w:pPr>
      <w:bookmarkStart w:id="100" w:name="_Toc513029226"/>
      <w:bookmarkStart w:id="101" w:name="_Toc16938542"/>
      <w:bookmarkStart w:id="102" w:name="_Toc20823298"/>
      <w:r>
        <w:rPr>
          <w:rFonts w:hint="eastAsia" w:ascii="宋体" w:hAnsi="宋体"/>
          <w:b/>
          <w:sz w:val="24"/>
          <w:szCs w:val="24"/>
        </w:rPr>
        <w:t>20、谈判响应文件接收截止</w:t>
      </w:r>
      <w:bookmarkEnd w:id="100"/>
      <w:bookmarkEnd w:id="101"/>
      <w:bookmarkEnd w:id="102"/>
      <w:r>
        <w:rPr>
          <w:rFonts w:hint="eastAsia" w:ascii="宋体" w:hAnsi="宋体"/>
          <w:b/>
          <w:sz w:val="24"/>
          <w:szCs w:val="24"/>
        </w:rPr>
        <w:t>时间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20.1 南京信息职业技术学院收到谈判响应文件的时间不得迟于采购公告中规定的谈判响应文件接收截止时间。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20.2 南京信息职业技术学院可以按照规定，通过修改采购文件有权酌情延长谈判响应文件接收截止时间，在此情况下，供应商的所有权利和义务以及供应商受制的截止日期均应以延长后新的截止日期为准。</w:t>
      </w:r>
    </w:p>
    <w:p>
      <w:pPr>
        <w:adjustRightInd w:val="0"/>
        <w:snapToGrid w:val="0"/>
        <w:spacing w:line="360" w:lineRule="auto"/>
        <w:ind w:firstLine="472" w:firstLineChars="196"/>
        <w:rPr>
          <w:rFonts w:ascii="宋体" w:hAnsi="宋体"/>
          <w:b/>
          <w:sz w:val="24"/>
          <w:szCs w:val="24"/>
        </w:rPr>
      </w:pPr>
      <w:bookmarkStart w:id="103" w:name="_Toc513029227"/>
      <w:bookmarkStart w:id="104" w:name="_Toc16938543"/>
      <w:bookmarkStart w:id="105" w:name="_Toc20823299"/>
      <w:r>
        <w:rPr>
          <w:rFonts w:hint="eastAsia" w:ascii="宋体" w:hAnsi="宋体"/>
          <w:b/>
          <w:sz w:val="24"/>
          <w:szCs w:val="24"/>
        </w:rPr>
        <w:t>21、迟交的谈判响应文件</w:t>
      </w:r>
      <w:bookmarkEnd w:id="103"/>
      <w:bookmarkEnd w:id="104"/>
      <w:bookmarkEnd w:id="10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21.1 南京信息职业技术学院将拒绝并原封退回在其规定的谈判响应文件接收截止时间后收到的任何谈判响应文件。</w:t>
      </w:r>
    </w:p>
    <w:p>
      <w:pPr>
        <w:adjustRightInd w:val="0"/>
        <w:snapToGrid w:val="0"/>
        <w:spacing w:line="360" w:lineRule="auto"/>
        <w:ind w:firstLine="472" w:firstLineChars="196"/>
        <w:rPr>
          <w:rFonts w:ascii="宋体" w:hAnsi="宋体"/>
          <w:b/>
          <w:sz w:val="24"/>
          <w:szCs w:val="24"/>
        </w:rPr>
      </w:pPr>
      <w:bookmarkStart w:id="106" w:name="_Toc513029228"/>
      <w:bookmarkStart w:id="107" w:name="_Toc16938544"/>
      <w:bookmarkStart w:id="108" w:name="_Toc20823300"/>
      <w:r>
        <w:rPr>
          <w:rFonts w:hint="eastAsia" w:ascii="宋体" w:hAnsi="宋体"/>
          <w:b/>
          <w:sz w:val="24"/>
          <w:szCs w:val="24"/>
        </w:rPr>
        <w:t>22、谈判响应文件的修改和撤回</w:t>
      </w:r>
      <w:bookmarkEnd w:id="106"/>
      <w:bookmarkEnd w:id="107"/>
      <w:bookmarkEnd w:id="10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22.1 供应商在递交谈判响应文件后，可以修改或撤回其谈判响应文件，但这种修改和撤回，必须在规定的谈判响应文件接收截止时间前，以书面形式通知南京信息职业技术学院，修改或撤回其谈判响应文件。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22.2 供应商的修改或撤回文件应按规定进行编制、密封、标记和发送，并应在封套上加注“修改”和“撤回”字样。修改文件必须在谈判响应文件接收截止时间前送达南京信息职业技术学院。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22.3 在谈判响应文件接收截止时间之后，供应商不得对其谈判响应文件作任何修改。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22.4 在谈判响应文件接收截止时间至采购文件中规定的谈判有效期满之间的这段时间内，供应商不得撤回其谈判响应文件。</w:t>
      </w:r>
    </w:p>
    <w:p>
      <w:pPr>
        <w:adjustRightInd w:val="0"/>
        <w:snapToGrid w:val="0"/>
        <w:spacing w:line="360" w:lineRule="auto"/>
        <w:rPr>
          <w:b/>
          <w:sz w:val="30"/>
          <w:szCs w:val="30"/>
        </w:rPr>
      </w:pPr>
      <w:bookmarkStart w:id="109" w:name="_Toc513029229"/>
      <w:bookmarkStart w:id="110" w:name="_Toc16938545"/>
      <w:bookmarkStart w:id="111" w:name="_Toc20823301"/>
      <w:bookmarkStart w:id="112" w:name="_Toc120614218"/>
      <w:r>
        <w:rPr>
          <w:rFonts w:hint="eastAsia"/>
          <w:b/>
          <w:sz w:val="30"/>
          <w:szCs w:val="30"/>
        </w:rPr>
        <w:t>五、谈判与</w:t>
      </w:r>
      <w:bookmarkEnd w:id="109"/>
      <w:bookmarkEnd w:id="110"/>
      <w:bookmarkEnd w:id="111"/>
      <w:bookmarkEnd w:id="112"/>
      <w:r>
        <w:rPr>
          <w:rFonts w:hint="eastAsia"/>
          <w:b/>
          <w:sz w:val="30"/>
          <w:szCs w:val="30"/>
        </w:rPr>
        <w:t>评审</w:t>
      </w:r>
    </w:p>
    <w:p>
      <w:pPr>
        <w:adjustRightInd w:val="0"/>
        <w:snapToGrid w:val="0"/>
        <w:spacing w:line="360" w:lineRule="auto"/>
        <w:ind w:firstLine="472" w:firstLineChars="196"/>
        <w:rPr>
          <w:rFonts w:ascii="宋体" w:hAnsi="宋体"/>
          <w:b/>
          <w:sz w:val="24"/>
          <w:szCs w:val="24"/>
        </w:rPr>
      </w:pPr>
      <w:bookmarkStart w:id="113" w:name="_Toc20823302"/>
      <w:bookmarkStart w:id="114" w:name="_Toc513029230"/>
      <w:bookmarkStart w:id="115" w:name="_Toc16938546"/>
      <w:r>
        <w:rPr>
          <w:rFonts w:hint="eastAsia" w:ascii="宋体" w:hAnsi="宋体"/>
          <w:b/>
          <w:sz w:val="24"/>
          <w:szCs w:val="24"/>
        </w:rPr>
        <w:t>23、</w:t>
      </w:r>
      <w:bookmarkEnd w:id="113"/>
      <w:bookmarkEnd w:id="114"/>
      <w:bookmarkEnd w:id="115"/>
      <w:r>
        <w:rPr>
          <w:rFonts w:hint="eastAsia" w:ascii="宋体" w:hAnsi="宋体"/>
          <w:b/>
          <w:sz w:val="24"/>
          <w:szCs w:val="24"/>
        </w:rPr>
        <w:t>谈判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23.1 南京信息职业技术学院将在采购公告中规定的时间和地点组织谈判开始仪式。供应商应委派携带有效证件的代表准时参加，参加仪式的代表需签名以证明其出席。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23.2仪式由南京信息职业技术学院主持，采购小组、监督代表、供应商代表以及有关工作人员参加。</w:t>
      </w:r>
    </w:p>
    <w:p>
      <w:pPr>
        <w:adjustRightInd w:val="0"/>
        <w:snapToGrid w:val="0"/>
        <w:spacing w:line="360" w:lineRule="auto"/>
        <w:ind w:firstLine="472" w:firstLineChars="196"/>
        <w:rPr>
          <w:rFonts w:ascii="宋体" w:hAnsi="宋体"/>
          <w:b/>
          <w:sz w:val="24"/>
          <w:szCs w:val="24"/>
        </w:rPr>
      </w:pPr>
      <w:bookmarkStart w:id="116" w:name="_Toc20823303"/>
      <w:bookmarkStart w:id="117" w:name="_Toc513029231"/>
      <w:bookmarkStart w:id="118" w:name="_Toc16938547"/>
      <w:r>
        <w:rPr>
          <w:rFonts w:hint="eastAsia" w:ascii="宋体" w:hAnsi="宋体"/>
          <w:b/>
          <w:sz w:val="24"/>
          <w:szCs w:val="24"/>
        </w:rPr>
        <w:t>24、谈判小组</w:t>
      </w:r>
    </w:p>
    <w:p>
      <w:pPr>
        <w:adjustRightInd w:val="0"/>
        <w:snapToGrid w:val="0"/>
        <w:spacing w:line="360" w:lineRule="auto"/>
        <w:rPr>
          <w:rFonts w:ascii="宋体" w:hAnsi="宋体"/>
          <w:sz w:val="24"/>
          <w:szCs w:val="24"/>
        </w:rPr>
      </w:pPr>
      <w:r>
        <w:rPr>
          <w:rFonts w:hint="eastAsia"/>
        </w:rPr>
        <w:t xml:space="preserve">  </w:t>
      </w:r>
      <w:r>
        <w:rPr>
          <w:rFonts w:hint="eastAsia" w:ascii="宋体" w:hAnsi="宋体"/>
          <w:sz w:val="24"/>
          <w:szCs w:val="24"/>
        </w:rPr>
        <w:t xml:space="preserve">  24.1 谈判开始仪式结束后，南京信息职业技术学院将立即组织谈判小组进行评审。</w:t>
      </w:r>
    </w:p>
    <w:p>
      <w:pPr>
        <w:adjustRightInd w:val="0"/>
        <w:snapToGrid w:val="0"/>
        <w:spacing w:line="360" w:lineRule="auto"/>
        <w:rPr>
          <w:rFonts w:ascii="宋体" w:hAnsi="宋体"/>
          <w:sz w:val="24"/>
          <w:szCs w:val="24"/>
        </w:rPr>
      </w:pPr>
      <w:r>
        <w:rPr>
          <w:rFonts w:hint="eastAsia" w:ascii="宋体" w:hAnsi="宋体"/>
          <w:sz w:val="24"/>
          <w:szCs w:val="24"/>
        </w:rPr>
        <w:t xml:space="preserve">    24.2 谈判小组由政府采购评审专家组成，且人员构成符合政府采购有关规定。</w:t>
      </w:r>
    </w:p>
    <w:p>
      <w:pPr>
        <w:adjustRightInd w:val="0"/>
        <w:snapToGrid w:val="0"/>
        <w:spacing w:line="360" w:lineRule="auto"/>
        <w:rPr>
          <w:rFonts w:ascii="宋体" w:hAnsi="宋体"/>
          <w:sz w:val="24"/>
          <w:szCs w:val="24"/>
        </w:rPr>
      </w:pPr>
      <w:r>
        <w:rPr>
          <w:rFonts w:hint="eastAsia" w:ascii="宋体" w:hAnsi="宋体"/>
          <w:sz w:val="24"/>
          <w:szCs w:val="24"/>
        </w:rPr>
        <w:t xml:space="preserve">    24.3谈判小组应以科学、公正的态度参加评审工作并推荐成交候选人。评审专家在评审过程中不受任何干扰，独立、负责地提出评审意见，并对自己的评审意见承担责任。</w:t>
      </w:r>
    </w:p>
    <w:p>
      <w:pPr>
        <w:adjustRightInd w:val="0"/>
        <w:snapToGrid w:val="0"/>
        <w:spacing w:line="360" w:lineRule="auto"/>
        <w:rPr>
          <w:rFonts w:ascii="宋体" w:hAnsi="宋体"/>
          <w:sz w:val="24"/>
          <w:szCs w:val="24"/>
        </w:rPr>
      </w:pPr>
      <w:r>
        <w:rPr>
          <w:rFonts w:hint="eastAsia" w:ascii="宋体" w:hAnsi="宋体"/>
          <w:sz w:val="24"/>
          <w:szCs w:val="24"/>
        </w:rPr>
        <w:t xml:space="preserve">    24.4谈判小组将对供应商的商业、技术秘密予以保密。</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25．评审过程的保密</w:t>
      </w:r>
      <w:bookmarkEnd w:id="116"/>
      <w:bookmarkEnd w:id="117"/>
      <w:bookmarkEnd w:id="118"/>
      <w:r>
        <w:rPr>
          <w:rFonts w:hint="eastAsia" w:ascii="宋体" w:hAnsi="宋体"/>
          <w:b/>
          <w:sz w:val="24"/>
          <w:szCs w:val="24"/>
        </w:rPr>
        <w:t>与公正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25.1谈判开始仪式结束后，直至向成交的供应商授予合同时止，凡是与审查、澄清、评价和比较谈判响应文件的有关资料以及推荐建议等，均不得向供应商或与评审无关的其他人员透露。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25.2在评审过程中，如果供应商试图向参与评审的人员施加任何影响，都将会导致其谈判响应文件被拒绝。</w:t>
      </w:r>
    </w:p>
    <w:p>
      <w:pPr>
        <w:adjustRightInd w:val="0"/>
        <w:snapToGrid w:val="0"/>
        <w:spacing w:line="360" w:lineRule="auto"/>
        <w:ind w:firstLine="472" w:firstLineChars="196"/>
        <w:rPr>
          <w:rFonts w:ascii="宋体" w:hAnsi="宋体"/>
          <w:b/>
          <w:sz w:val="24"/>
          <w:szCs w:val="24"/>
        </w:rPr>
      </w:pPr>
      <w:bookmarkStart w:id="119" w:name="_Toc513029232"/>
      <w:bookmarkStart w:id="120" w:name="_Toc16938548"/>
      <w:bookmarkStart w:id="121" w:name="_Toc20823304"/>
      <w:r>
        <w:rPr>
          <w:rFonts w:hint="eastAsia" w:ascii="宋体" w:hAnsi="宋体"/>
          <w:b/>
          <w:sz w:val="24"/>
          <w:szCs w:val="24"/>
        </w:rPr>
        <w:t>26．评审过程的澄清</w:t>
      </w:r>
      <w:bookmarkEnd w:id="119"/>
      <w:bookmarkEnd w:id="120"/>
      <w:bookmarkEnd w:id="121"/>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26.1评审期间，为有助于对谈判响应文件的审查、评价和比较，谈判小组有权要求供应商对其谈判响应文件进行澄清，但并非对每个供应商都作澄清要求。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26.2接到谈判小组澄清要求的供应商应派人按谈判小组通知的时间和地点做出书面澄清，书面澄清的内容须由供应商法定代表人或授权代表签署，并作为谈判响应文件的补充部分，但相关实质性的内容不得做任何更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26.3 接到谈判小组澄清要求的供应商如未按规定做出澄清，其风险由供应商自行承担。</w:t>
      </w:r>
    </w:p>
    <w:p>
      <w:pPr>
        <w:adjustRightInd w:val="0"/>
        <w:snapToGrid w:val="0"/>
        <w:spacing w:line="360" w:lineRule="auto"/>
        <w:ind w:firstLine="472" w:firstLineChars="196"/>
        <w:rPr>
          <w:rFonts w:ascii="宋体" w:hAnsi="宋体"/>
          <w:b/>
          <w:sz w:val="24"/>
          <w:szCs w:val="24"/>
        </w:rPr>
      </w:pPr>
      <w:bookmarkStart w:id="122" w:name="_Toc20823305"/>
      <w:bookmarkStart w:id="123" w:name="_Toc16938549"/>
      <w:bookmarkStart w:id="124" w:name="_Toc513029233"/>
      <w:r>
        <w:rPr>
          <w:rFonts w:hint="eastAsia" w:ascii="宋体" w:hAnsi="宋体"/>
          <w:b/>
          <w:sz w:val="24"/>
          <w:szCs w:val="24"/>
        </w:rPr>
        <w:t>27、对谈判响应文件的初审</w:t>
      </w:r>
      <w:bookmarkEnd w:id="122"/>
      <w:bookmarkEnd w:id="123"/>
      <w:bookmarkEnd w:id="124"/>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27.1谈判响应文件初审分为资格性检查和符合性检查。</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资格性检查：依据法律法规和采购文件的规定，对谈判响应文件中的资格证明文件、谈判保证金等进行审查，以确定供应商是否具备参加谈判的资格。</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符合性检查：依据采购文件的规定，从谈判响应文件的有效性、完整性和对采购文件的响应程度进行审查，以确定是否对采购文件的实质性要求作出响应。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27.2在正式谈判之前，谈判小组将首先审查每份谈判响应文件是否实质性响应了采购文件的要求。实质性响应的谈判响应文件应该是与采购文件要求的全部条款、条件和规格相符，没有重大偏离或保留。所谓重大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的认定需经过谈判小组三分二及以上成员的认定。谈判小组决定谈判响应文件的响应性只根据谈判响应文件本身的内容，而不寻求外部的证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27.3 被认定为非响应性的谈判响应文件的情形</w:t>
      </w:r>
    </w:p>
    <w:p>
      <w:pPr>
        <w:adjustRightInd w:val="0"/>
        <w:snapToGrid w:val="0"/>
        <w:spacing w:line="360" w:lineRule="auto"/>
        <w:rPr>
          <w:rFonts w:ascii="宋体" w:hAnsi="宋体"/>
          <w:sz w:val="24"/>
          <w:szCs w:val="24"/>
        </w:rPr>
      </w:pPr>
      <w:r>
        <w:rPr>
          <w:rFonts w:hint="eastAsia" w:ascii="宋体" w:hAnsi="宋体"/>
          <w:sz w:val="24"/>
          <w:szCs w:val="24"/>
        </w:rPr>
        <w:t xml:space="preserve">   （1） 未按照采购文件规定要求密封、签署、盖章的；</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（2） 供应商在报价时采用选择性报价；</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（3） 供应商不具备采购文件中规定资格要求的；</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（4） 不符合法律、法规和采购文件中规定的其他实质性要求的（本采购文件中斜体且有下划线部分为实质性要求和条件)；</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（5） 其他法律、法规及本采购文件规定的属非响应性的谈判响应文件的情形。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27.4 如果谈判响应文件实质上没有响应采购文件的要求，谈判小组将予以拒绝，供应商不得通过修改或撤销不合要求的偏离或保留而使其谈判响应文件成为实质性响应的文件。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27.5 谈判小组将允许修正谈判响应文件中不构成重大偏离的、微小的、非正规的、不一致的或不规则的地方，但这些修改不能影响任何供应商相应的名次排列。</w:t>
      </w:r>
    </w:p>
    <w:p>
      <w:pPr>
        <w:adjustRightInd w:val="0"/>
        <w:snapToGrid w:val="0"/>
        <w:spacing w:line="360" w:lineRule="auto"/>
        <w:ind w:firstLine="472" w:firstLineChars="196"/>
        <w:rPr>
          <w:rFonts w:ascii="宋体" w:hAnsi="宋体"/>
          <w:b/>
          <w:sz w:val="24"/>
          <w:szCs w:val="24"/>
        </w:rPr>
      </w:pPr>
      <w:bookmarkStart w:id="125" w:name="_Toc20823306"/>
      <w:bookmarkStart w:id="126" w:name="_Toc513029234"/>
      <w:bookmarkStart w:id="127" w:name="_Toc16938550"/>
      <w:r>
        <w:rPr>
          <w:rFonts w:hint="eastAsia" w:ascii="宋体" w:hAnsi="宋体"/>
          <w:b/>
          <w:sz w:val="24"/>
          <w:szCs w:val="24"/>
        </w:rPr>
        <w:t>28、</w:t>
      </w:r>
      <w:bookmarkEnd w:id="125"/>
      <w:bookmarkEnd w:id="126"/>
      <w:bookmarkEnd w:id="127"/>
      <w:r>
        <w:rPr>
          <w:rFonts w:hint="eastAsia" w:ascii="宋体" w:hAnsi="宋体"/>
          <w:b/>
          <w:sz w:val="24"/>
          <w:szCs w:val="24"/>
        </w:rPr>
        <w:t>谈判及成交原则</w:t>
      </w:r>
    </w:p>
    <w:p>
      <w:pPr>
        <w:adjustRightInd w:val="0"/>
        <w:snapToGrid w:val="0"/>
        <w:spacing w:line="360" w:lineRule="auto"/>
        <w:ind w:firstLine="480" w:firstLineChars="200"/>
        <w:rPr>
          <w:rFonts w:ascii="宋体" w:hAnsi="宋体"/>
          <w:sz w:val="24"/>
          <w:szCs w:val="24"/>
        </w:rPr>
      </w:pPr>
      <w:bookmarkStart w:id="128" w:name="_Toc513029235"/>
      <w:bookmarkStart w:id="129" w:name="_Toc16938551"/>
      <w:bookmarkStart w:id="130" w:name="_Toc20823307"/>
      <w:r>
        <w:rPr>
          <w:rFonts w:hint="eastAsia" w:ascii="宋体" w:hAnsi="宋体"/>
          <w:sz w:val="24"/>
          <w:szCs w:val="24"/>
        </w:rPr>
        <w:t>28.1谈判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28.1.1 对于通过资格性和符合性审查的供应商，谈判小组将随机确定参加谈判供应商的谈判顺序，然后由谈判小组所有成员集中与单一供应商逐一进行谈判。</w:t>
      </w:r>
    </w:p>
    <w:p>
      <w:pPr>
        <w:adjustRightInd w:val="0"/>
        <w:snapToGrid w:val="0"/>
        <w:spacing w:line="360" w:lineRule="auto"/>
        <w:ind w:firstLine="360" w:firstLineChars="150"/>
        <w:rPr>
          <w:rFonts w:ascii="宋体" w:hAnsi="宋体"/>
          <w:sz w:val="24"/>
          <w:szCs w:val="24"/>
        </w:rPr>
      </w:pPr>
      <w:r>
        <w:rPr>
          <w:rFonts w:hint="eastAsia" w:ascii="宋体" w:hAnsi="宋体"/>
          <w:sz w:val="24"/>
          <w:szCs w:val="24"/>
        </w:rPr>
        <w:t xml:space="preserve"> 28.1.2 谈判报价原则上分两轮进行，即谈判开始前报价（按本采购文件中配置与分项报价表的格式填报并加盖公章）及谈判结束后最终总报价（该报价将作为评审确定成交的依据）。若谈判小组认定谈判过程中供应商的报价、响应内容等远远低于谈判预期，可以根据需要增加一轮中间报价，但必须预先通知各参加谈判的供应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28.1.3 参加谈判的供应商应当以书面形式对谈判中做出的承诺与澄清进行确认，并在谈判小组规定的时间内完成书面报价（最终总报价或可能的中间报价）。谈判承诺及书面报价均须由法定代表人或其授权代表签字确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28.1.4 供应商最终总报价在货物数量没有增加，配置、服务没有重大提高的情况下，</w:t>
      </w:r>
      <w:r>
        <w:rPr>
          <w:rFonts w:hint="eastAsia" w:ascii="宋体" w:hAnsi="宋体"/>
          <w:sz w:val="24"/>
          <w:szCs w:val="24"/>
          <w:u w:val="thick"/>
        </w:rPr>
        <w:t>一般不允许高于第一次报价</w:t>
      </w:r>
      <w:r>
        <w:rPr>
          <w:rFonts w:hint="eastAsia" w:ascii="宋体" w:hAnsi="宋体"/>
          <w:sz w:val="24"/>
          <w:szCs w:val="24"/>
        </w:rPr>
        <w:t>（即谈判响应文件配置与分项报价表中的报价）。否则，谈判小组有权拒绝该谈判报价并不再给予报价补救机会。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28.1.5 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pPr>
        <w:snapToGrid w:val="0"/>
        <w:spacing w:line="360" w:lineRule="auto"/>
        <w:ind w:firstLine="480" w:firstLineChars="200"/>
        <w:rPr>
          <w:rFonts w:hAnsi="宋体"/>
        </w:rPr>
      </w:pPr>
      <w:r>
        <w:rPr>
          <w:rFonts w:hint="eastAsia" w:ascii="宋体" w:hAnsi="宋体"/>
          <w:sz w:val="24"/>
          <w:szCs w:val="24"/>
        </w:rPr>
        <w:t>28.1.6</w:t>
      </w:r>
      <w:r>
        <w:rPr>
          <w:rFonts w:hint="eastAsia" w:hAnsi="宋体"/>
        </w:rPr>
        <w:t>本项目非专门面向中小企业采购，根据财政部发布的《政府采购促进中小企业发展暂行办法》规定，对小型和微型企业产品的价格给予6%的扣除，用扣除后的价格参与评审。以上所述投标报价，均为对小、微企业产品进行价格扣除后的报价。(提供小微企业声明函，格式附后）。供应商应出具有关的证明文件，否则不考虑价格扣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 成交原则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28.2.1供应商最后一轮谈判后的总报价及承诺作为谈判小组评定成交结果，向南京信息职业技术学院推荐成交候选人的依据。不符合资格性和符合性审查的供应商，不论是否已经参加了后续谈判报价，均不得授予成交资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28.2.2谈判小组将根据“符合采购需求、质量和服务相等且最终总报价最低”的成交原则，按各供应商最终谈判总报价由低到高顺序推荐成交候选人，在“符合采购需求、质量和服务相等”的基础上，最终谈判总报价最低的供应商即为本次竞争性谈判的成交候选人。本次采购，只要供应商通过了资格性和符合性审查，则视同“符合采购需求、质量和服务相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28.2.3 供应商的最终谈判总报价如相同，则优先采购“自主创新产品”或“环境标志产品”或“节能产品”；若均非“自主创新产品”、“环境标志产品”、“节能产品”，则将优先采购交货期短者。</w:t>
      </w:r>
    </w:p>
    <w:p>
      <w:pPr>
        <w:adjustRightInd w:val="0"/>
        <w:snapToGrid w:val="0"/>
        <w:spacing w:line="360" w:lineRule="auto"/>
        <w:rPr>
          <w:rFonts w:ascii="宋体" w:hAnsi="宋体"/>
          <w:sz w:val="24"/>
          <w:szCs w:val="24"/>
        </w:rPr>
      </w:pPr>
      <w:r>
        <w:rPr>
          <w:rFonts w:hint="eastAsia" w:ascii="宋体" w:hAnsi="宋体"/>
          <w:sz w:val="24"/>
          <w:szCs w:val="24"/>
        </w:rPr>
        <w:t>自主创新产品是指列入财政部、科技部公布的《政府采购自主创新产品目录》的货物和服务；环境标志产品是指列入财政部、环境保护部最新公布的《环境标志产品政府采购清单》内的产品；节能产品是指列入财政部、国家发改委最新公布的《节能产品政府采购清单》内的产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28.2.4如最终总报价不等，在自主创新产品最终总报价不高于其他产品最终总报价中最低者5%时，应确定自主创新产品为最终成交候选人。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28.2.5对于谈判供应商提交的优于谈判采购文件中技术标准的备选方案所产生的附加收益，在谈判最终总报价比较中不予考虑。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28.3 采购项目被终止的情形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（1）参加谈判的供应商或通过资格性和符合性审查的供应商不足三家，且同级财政部门不同意继续按照谈判或单一来源方式继续采购的；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（3）各谈判供应商的最终总报价均超过了采购预算，南京信息职业技术学院不能支付的；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（4）因重大变故，采购任务取消的。</w:t>
      </w:r>
    </w:p>
    <w:p>
      <w:pPr>
        <w:adjustRightInd w:val="0"/>
        <w:snapToGrid w:val="0"/>
        <w:spacing w:line="360" w:lineRule="auto"/>
        <w:rPr>
          <w:b/>
          <w:sz w:val="30"/>
          <w:szCs w:val="30"/>
        </w:rPr>
      </w:pPr>
      <w:bookmarkStart w:id="131" w:name="_Toc120614219"/>
      <w:r>
        <w:rPr>
          <w:rFonts w:hint="eastAsia"/>
          <w:b/>
          <w:sz w:val="30"/>
          <w:szCs w:val="30"/>
        </w:rPr>
        <w:t>六、</w:t>
      </w:r>
      <w:bookmarkEnd w:id="128"/>
      <w:bookmarkEnd w:id="129"/>
      <w:bookmarkEnd w:id="130"/>
      <w:bookmarkEnd w:id="131"/>
      <w:r>
        <w:rPr>
          <w:rFonts w:hint="eastAsia"/>
          <w:b/>
          <w:sz w:val="30"/>
          <w:szCs w:val="30"/>
        </w:rPr>
        <w:t>成交</w:t>
      </w:r>
    </w:p>
    <w:p>
      <w:pPr>
        <w:adjustRightInd w:val="0"/>
        <w:snapToGrid w:val="0"/>
        <w:spacing w:line="360" w:lineRule="auto"/>
        <w:ind w:firstLine="472" w:firstLineChars="196"/>
        <w:rPr>
          <w:rFonts w:ascii="宋体" w:hAnsi="宋体"/>
          <w:b/>
          <w:sz w:val="24"/>
          <w:szCs w:val="24"/>
        </w:rPr>
      </w:pPr>
      <w:bookmarkStart w:id="132" w:name="_Toc513029238"/>
      <w:bookmarkStart w:id="133" w:name="_Toc16938554"/>
      <w:bookmarkStart w:id="134" w:name="_Toc20823310"/>
      <w:r>
        <w:rPr>
          <w:rFonts w:hint="eastAsia" w:ascii="宋体" w:hAnsi="宋体"/>
          <w:b/>
          <w:sz w:val="24"/>
          <w:szCs w:val="24"/>
        </w:rPr>
        <w:t>29、</w:t>
      </w:r>
      <w:bookmarkEnd w:id="132"/>
      <w:r>
        <w:rPr>
          <w:rFonts w:hint="eastAsia" w:ascii="宋体" w:hAnsi="宋体"/>
          <w:b/>
          <w:sz w:val="24"/>
          <w:szCs w:val="24"/>
        </w:rPr>
        <w:t>确定</w:t>
      </w:r>
      <w:bookmarkEnd w:id="133"/>
      <w:bookmarkEnd w:id="134"/>
      <w:r>
        <w:rPr>
          <w:rFonts w:hint="eastAsia" w:ascii="宋体" w:hAnsi="宋体"/>
          <w:b/>
          <w:sz w:val="24"/>
          <w:szCs w:val="24"/>
        </w:rPr>
        <w:t>成交单位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29.1谈判小组根据本采购文件规定评审办法、原始谈判记录和谈判结果，编写评审报告，推荐成交候选人。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29.2评审结束后一个工作日内，成交候选人名单将在南京信息职业技术学院校网上进行公示，公示时间为七个工作日。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29.3若有充分证据证明，成交候选人出现下列情况之一的，一经查实，将被取消成交资格：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（1）提供虚假材料谋取成交的；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（2）与评审专家、其他供应商或者南京信息职业技术学院工作人员恶意串通的；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（3）向评审专家或南京信息职业技术学院工作人员行贿或者提供其他不正当利益的；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（4）恶意竞争，最终总报价明显低于其自身合理成本且又无法提供证明的；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（5）不满足本采购文件规定的实质性要求，但在评审过程中又未被谈判小组发现的；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（6）不符合法律、法规的规定的其他情形。</w:t>
      </w:r>
      <w:bookmarkStart w:id="135" w:name="_Toc200451960"/>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在此情况下一经认定，南京信息职业技术学院有权重新组织采购。</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30、质疑处理</w:t>
      </w:r>
      <w:bookmarkEnd w:id="13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30.1参加谈判的供应商认为采购过程和采购结果使自己的权益受到损害的，可以从采购结果公布之日起七个工作日内，以书面形式向南京信息职业技术学院提出质疑。非书面形式、七个工作日之外提交以及匿名的质疑将不予受理 。</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30.2质疑必须以参加谈判供应商的法定代表人或授权代表（谈判响应文件中所确定的）送达的方式提交，未按上述要求提交的质疑函（含传真、电子邮件等）南京信息职业技术学院有权不予受理。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30.3未参加谈判的供应商或在谈判采购中本身权益未受到损害或从谈判采购中收益的供应商所提出的质疑也不予受理。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30.4南京信息职业技术学院将在收到供应商的书面质疑后七个工作日内作出答复，并以书面形式通知质疑供应商和其他有关供应商，但答复的内容不得涉及商业秘密。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30.5 供应商提出书面质疑必须有理、有据，不得恶意质疑或提交虚假质疑。否则，一经查实，南京信息职业技术学院有权依据政府采购的有关规定，报请政府采购监管部门对该供应商进行相应的行政处罚。</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31、成交通知书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31.l成交结果质疑期满后，南京信息职业技术学院将向成交供应商发出成交通知书。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31.2 成交供应商收到成交通知书后，须立即以书面形式回复南京信息职业技术学院，确认成交通知书已收到。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31.3成交通知书将是合同的一个组成部分。对南京信息职业技术学院和成交供应商均具有法律效力。成交通知书发出后，南京信息职业技术学院改变成交结果的，或者成交供应商放弃成交项目的，应当依法承担法律责任。</w:t>
      </w:r>
      <w:bookmarkStart w:id="136" w:name="_Toc120614220"/>
      <w:bookmarkStart w:id="137" w:name="_Toc16938552"/>
      <w:bookmarkStart w:id="138" w:name="_Toc20823308"/>
      <w:bookmarkStart w:id="139" w:name="_Toc513029236"/>
    </w:p>
    <w:p>
      <w:pPr>
        <w:adjustRightInd w:val="0"/>
        <w:snapToGrid w:val="0"/>
        <w:spacing w:line="360" w:lineRule="auto"/>
        <w:rPr>
          <w:rFonts w:ascii="宋体" w:hAnsi="宋体"/>
          <w:sz w:val="24"/>
          <w:szCs w:val="24"/>
        </w:rPr>
      </w:pPr>
      <w:r>
        <w:rPr>
          <w:rFonts w:hint="eastAsia"/>
          <w:b/>
          <w:sz w:val="30"/>
          <w:szCs w:val="30"/>
        </w:rPr>
        <w:t>七、授予合同</w:t>
      </w:r>
      <w:bookmarkEnd w:id="136"/>
    </w:p>
    <w:bookmarkEnd w:id="137"/>
    <w:bookmarkEnd w:id="138"/>
    <w:bookmarkEnd w:id="139"/>
    <w:p>
      <w:pPr>
        <w:adjustRightInd w:val="0"/>
        <w:snapToGrid w:val="0"/>
        <w:spacing w:line="360" w:lineRule="auto"/>
        <w:ind w:firstLine="472" w:firstLineChars="196"/>
        <w:rPr>
          <w:rFonts w:ascii="宋体" w:hAnsi="宋体"/>
          <w:b/>
          <w:sz w:val="24"/>
          <w:szCs w:val="24"/>
        </w:rPr>
      </w:pPr>
      <w:bookmarkStart w:id="140" w:name="_Toc513029237"/>
      <w:bookmarkStart w:id="141" w:name="_Toc16938553"/>
      <w:bookmarkStart w:id="142" w:name="_Toc20823309"/>
      <w:r>
        <w:rPr>
          <w:rFonts w:hint="eastAsia" w:ascii="宋体" w:hAnsi="宋体"/>
          <w:b/>
          <w:sz w:val="24"/>
          <w:szCs w:val="24"/>
        </w:rPr>
        <w:t>32. 签订合同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32.l成交人应按成交通知书规定的时间、地点,按照采购文件确定的事项与南京信息职业技术学院签订政府采购合同，且不得迟于成交通知书发出之日起三十日内，否则谈判保证金将不予退还，由此给南京信息职业技术学院造成损失的，成交人还应承担赔偿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32.2 采购文件、成交人的谈判响应文件及谈判采购过程中有关澄清、承诺文件均应作为合同附件。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32.3 签订合同后，成交人不得将货物及其他相关服务进行转包。未经南京信息职业技术学院同意，成交人也不得采用分包的形式履行合同，否则南京信息职业技术学院有权终止合同，成交人的履约保证金将不予退还。转包或分包造成南京信息职业技术学院损失的，成交人应承担相应赔偿责任。</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33、货物和服务的追加、减少和添购。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33.1政府采购合同履行中，需追加与合同标的相同的货物和服务的，在不改变价格水平、合同及其他条款的前提下，南京信息职业技术学院可以与成交人协商签订补充合同。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33.2采购结束后，南京信息职业技术学院若由于各种客观原因，必须对采购项目所牵涉的货物和服务进行适当的减少时，在双方协商一致的前提下，可以按照谈判采购时的价格水平做相应的调减，并据此签订补充合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33.3项目结束后，南京信息职业技术学院若由于各种客观原因，必须对采购项目所牵涉的货物和服务进行适当的添购时，由于须保证原有采购项目一致性或者服务配套的要求，经相关部门批准，可以继续从成交人处按照单一来源采购的方式进行添购，且所牵涉的货物和服务的价格水平不得超过本次谈判采购的水平且低于当时的社会平均价。货物和服务的添购，应在本次政府采购合同的基础上，另行签订货物和服务的添购合同。</w:t>
      </w: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34、履约保证金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履约保证金用以约束成交人在合同履行中的行为，弥补合同执行中由于自身行为可能给南京信息职业技术学院带来的各种损失。本次项目采购不收取履约保证金，如南京信息职业技术学院和成交供应商在合同中有规定的，从其规定。</w:t>
      </w:r>
    </w:p>
    <w:bookmarkEnd w:id="140"/>
    <w:bookmarkEnd w:id="141"/>
    <w:bookmarkEnd w:id="142"/>
    <w:p>
      <w:pPr>
        <w:pStyle w:val="52"/>
        <w:numPr>
          <w:ilvl w:val="0"/>
          <w:numId w:val="1"/>
        </w:numPr>
        <w:spacing w:afterLines="0"/>
        <w:rPr>
          <w:rFonts w:ascii="宋体" w:hAnsi="宋体" w:eastAsia="宋体" w:cs="宋体-18030"/>
        </w:rPr>
      </w:pPr>
      <w:bookmarkStart w:id="143" w:name="_Toc374431632"/>
      <w:bookmarkStart w:id="144" w:name="_Toc311047794"/>
      <w:bookmarkStart w:id="145" w:name="_Toc311046298"/>
      <w:bookmarkStart w:id="146" w:name="_Toc307825175"/>
      <w:r>
        <w:rPr>
          <w:rFonts w:hint="eastAsia" w:ascii="宋体" w:hAnsi="宋体" w:eastAsia="宋体" w:cs="宋体-18030"/>
        </w:rPr>
        <w:t>合同条款及格式</w:t>
      </w:r>
      <w:bookmarkEnd w:id="143"/>
    </w:p>
    <w:p>
      <w:pPr>
        <w:pStyle w:val="63"/>
        <w:numPr>
          <w:ilvl w:val="0"/>
          <w:numId w:val="1"/>
        </w:numPr>
        <w:ind w:firstLineChars="0"/>
        <w:rPr>
          <w:rFonts w:ascii="宋体" w:hAnsi="宋体"/>
          <w:bCs/>
        </w:rPr>
      </w:pPr>
      <w:bookmarkStart w:id="147" w:name="_Toc513029243"/>
      <w:bookmarkStart w:id="148" w:name="_Toc16938559"/>
      <w:bookmarkStart w:id="149" w:name="_Toc20823315"/>
      <w:r>
        <w:rPr>
          <w:rFonts w:hint="eastAsia" w:ascii="宋体" w:hAnsi="宋体"/>
          <w:bCs/>
        </w:rPr>
        <w:t>以下为中标后签订本项目合同的通用条款，中标人不得提出实质性的修改，关于专用条款将由南京信息职业技术学院与中标人结合本项目具体情况协商后签订。</w:t>
      </w:r>
    </w:p>
    <w:p>
      <w:pPr>
        <w:pStyle w:val="63"/>
        <w:numPr>
          <w:ilvl w:val="0"/>
          <w:numId w:val="1"/>
        </w:numPr>
        <w:snapToGrid w:val="0"/>
        <w:spacing w:before="145" w:beforeLines="50" w:after="145" w:afterLines="50"/>
        <w:ind w:firstLineChars="0"/>
        <w:jc w:val="center"/>
        <w:rPr>
          <w:rFonts w:ascii="宋体" w:hAnsi="宋体"/>
          <w:b/>
          <w:bCs/>
          <w:sz w:val="30"/>
          <w:szCs w:val="20"/>
        </w:rPr>
      </w:pPr>
      <w:r>
        <w:rPr>
          <w:rFonts w:hint="eastAsia" w:ascii="宋体" w:hAnsi="宋体"/>
          <w:b/>
          <w:sz w:val="30"/>
        </w:rPr>
        <w:t>江苏省政府采购合同（货物）</w:t>
      </w:r>
    </w:p>
    <w:p>
      <w:pPr>
        <w:pStyle w:val="13"/>
        <w:numPr>
          <w:ilvl w:val="0"/>
          <w:numId w:val="1"/>
        </w:numPr>
        <w:adjustRightInd w:val="0"/>
        <w:snapToGrid w:val="0"/>
        <w:spacing w:line="336" w:lineRule="auto"/>
        <w:ind w:firstLine="480"/>
        <w:rPr>
          <w:rFonts w:hAnsi="宋体"/>
          <w:szCs w:val="24"/>
        </w:rPr>
      </w:pPr>
      <w:r>
        <w:rPr>
          <w:rFonts w:hAnsi="宋体"/>
          <w:szCs w:val="24"/>
        </w:rPr>
        <w:t>项目名称：</w:t>
      </w:r>
      <w:r>
        <w:rPr>
          <w:rFonts w:hint="eastAsia" w:hAnsi="宋体"/>
          <w:szCs w:val="24"/>
        </w:rPr>
        <w:t xml:space="preserve"> </w:t>
      </w:r>
    </w:p>
    <w:p>
      <w:pPr>
        <w:pStyle w:val="13"/>
        <w:numPr>
          <w:ilvl w:val="0"/>
          <w:numId w:val="1"/>
        </w:numPr>
        <w:adjustRightInd w:val="0"/>
        <w:snapToGrid w:val="0"/>
        <w:spacing w:line="336" w:lineRule="auto"/>
        <w:ind w:firstLine="480"/>
        <w:rPr>
          <w:rFonts w:hAnsi="宋体"/>
          <w:szCs w:val="24"/>
        </w:rPr>
      </w:pPr>
      <w:r>
        <w:rPr>
          <w:rFonts w:hAnsi="宋体"/>
          <w:szCs w:val="24"/>
        </w:rPr>
        <w:t>项目编号：</w:t>
      </w:r>
      <w:r>
        <w:rPr>
          <w:rFonts w:hint="eastAsia" w:hAnsi="宋体"/>
          <w:szCs w:val="24"/>
        </w:rPr>
        <w:t xml:space="preserve"> </w:t>
      </w:r>
    </w:p>
    <w:p>
      <w:pPr>
        <w:pStyle w:val="13"/>
        <w:numPr>
          <w:ilvl w:val="0"/>
          <w:numId w:val="1"/>
        </w:numPr>
        <w:adjustRightInd w:val="0"/>
        <w:snapToGrid w:val="0"/>
        <w:spacing w:line="336" w:lineRule="auto"/>
        <w:ind w:firstLine="480"/>
        <w:rPr>
          <w:rFonts w:hAnsi="宋体"/>
          <w:szCs w:val="24"/>
          <w:u w:val="single"/>
        </w:rPr>
      </w:pPr>
      <w:r>
        <w:rPr>
          <w:rFonts w:hAnsi="宋体"/>
          <w:szCs w:val="24"/>
        </w:rPr>
        <w:t>甲方：（买方）</w:t>
      </w:r>
      <w:r>
        <w:rPr>
          <w:rFonts w:hint="eastAsia" w:hAnsi="宋体"/>
          <w:szCs w:val="24"/>
          <w:u w:val="single"/>
        </w:rPr>
        <w:t xml:space="preserve">  南京信息职业技术学院 </w:t>
      </w:r>
    </w:p>
    <w:p>
      <w:pPr>
        <w:pStyle w:val="13"/>
        <w:numPr>
          <w:ilvl w:val="0"/>
          <w:numId w:val="1"/>
        </w:numPr>
        <w:adjustRightInd w:val="0"/>
        <w:snapToGrid w:val="0"/>
        <w:spacing w:line="336" w:lineRule="auto"/>
        <w:ind w:firstLine="480"/>
        <w:rPr>
          <w:rFonts w:hAnsi="宋体"/>
          <w:szCs w:val="24"/>
        </w:rPr>
      </w:pPr>
      <w:r>
        <w:rPr>
          <w:rFonts w:hAnsi="宋体"/>
          <w:szCs w:val="24"/>
        </w:rPr>
        <w:t>乙方：（卖方）</w:t>
      </w:r>
      <w:r>
        <w:rPr>
          <w:rFonts w:hint="eastAsia" w:hAnsi="宋体"/>
          <w:szCs w:val="24"/>
          <w:u w:val="single"/>
        </w:rPr>
        <w:t xml:space="preserve">                      </w:t>
      </w:r>
    </w:p>
    <w:p>
      <w:pPr>
        <w:pStyle w:val="13"/>
        <w:numPr>
          <w:ilvl w:val="0"/>
          <w:numId w:val="1"/>
        </w:numPr>
        <w:adjustRightInd w:val="0"/>
        <w:snapToGrid w:val="0"/>
        <w:spacing w:line="336" w:lineRule="auto"/>
        <w:ind w:firstLine="480"/>
        <w:rPr>
          <w:rFonts w:hAnsi="宋体"/>
          <w:szCs w:val="24"/>
        </w:rPr>
      </w:pPr>
      <w:r>
        <w:rPr>
          <w:rFonts w:hAnsi="宋体"/>
          <w:szCs w:val="24"/>
        </w:rPr>
        <w:t>甲、乙双方根据</w:t>
      </w:r>
      <w:r>
        <w:rPr>
          <w:rFonts w:hint="eastAsia" w:hAnsi="宋体"/>
          <w:szCs w:val="24"/>
        </w:rPr>
        <w:t>南京信息职业技术学院“        ”</w:t>
      </w:r>
      <w:r>
        <w:rPr>
          <w:rFonts w:hAnsi="宋体"/>
          <w:szCs w:val="24"/>
        </w:rPr>
        <w:t>项目</w:t>
      </w:r>
      <w:r>
        <w:rPr>
          <w:rFonts w:hint="eastAsia" w:hAnsi="宋体"/>
          <w:szCs w:val="24"/>
        </w:rPr>
        <w:t>采购的</w:t>
      </w:r>
      <w:r>
        <w:rPr>
          <w:rFonts w:hAnsi="宋体"/>
          <w:szCs w:val="24"/>
        </w:rPr>
        <w:t>结果，签署本合同。</w:t>
      </w:r>
    </w:p>
    <w:p>
      <w:pPr>
        <w:pStyle w:val="13"/>
        <w:numPr>
          <w:ilvl w:val="0"/>
          <w:numId w:val="1"/>
        </w:numPr>
        <w:snapToGrid w:val="0"/>
        <w:rPr>
          <w:rFonts w:hAnsi="宋体"/>
          <w:b/>
          <w:szCs w:val="24"/>
        </w:rPr>
      </w:pPr>
      <w:r>
        <w:rPr>
          <w:rFonts w:hAnsi="宋体"/>
          <w:b/>
          <w:szCs w:val="24"/>
        </w:rPr>
        <w:t>一、货物内容</w:t>
      </w:r>
    </w:p>
    <w:p>
      <w:pPr>
        <w:pStyle w:val="13"/>
        <w:numPr>
          <w:ilvl w:val="0"/>
          <w:numId w:val="1"/>
        </w:numPr>
        <w:adjustRightInd w:val="0"/>
        <w:snapToGrid w:val="0"/>
        <w:spacing w:line="336" w:lineRule="auto"/>
        <w:ind w:firstLine="480"/>
        <w:rPr>
          <w:rFonts w:hAnsi="宋体"/>
          <w:szCs w:val="24"/>
        </w:rPr>
      </w:pPr>
      <w:r>
        <w:rPr>
          <w:rFonts w:hAnsi="宋体"/>
          <w:szCs w:val="24"/>
        </w:rPr>
        <w:t>1.1 货物名称：</w:t>
      </w:r>
    </w:p>
    <w:p>
      <w:pPr>
        <w:pStyle w:val="13"/>
        <w:numPr>
          <w:ilvl w:val="0"/>
          <w:numId w:val="1"/>
        </w:numPr>
        <w:adjustRightInd w:val="0"/>
        <w:snapToGrid w:val="0"/>
        <w:spacing w:line="336" w:lineRule="auto"/>
        <w:ind w:firstLine="480"/>
        <w:rPr>
          <w:rFonts w:hAnsi="宋体"/>
          <w:szCs w:val="24"/>
        </w:rPr>
      </w:pPr>
      <w:r>
        <w:rPr>
          <w:rFonts w:hAnsi="宋体"/>
          <w:szCs w:val="24"/>
        </w:rPr>
        <w:t>1.2 型号规格：</w:t>
      </w:r>
    </w:p>
    <w:p>
      <w:pPr>
        <w:pStyle w:val="13"/>
        <w:numPr>
          <w:ilvl w:val="0"/>
          <w:numId w:val="1"/>
        </w:numPr>
        <w:adjustRightInd w:val="0"/>
        <w:snapToGrid w:val="0"/>
        <w:spacing w:line="336" w:lineRule="auto"/>
        <w:ind w:firstLine="480"/>
        <w:rPr>
          <w:rFonts w:hAnsi="宋体"/>
          <w:szCs w:val="24"/>
        </w:rPr>
      </w:pPr>
      <w:r>
        <w:rPr>
          <w:rFonts w:hAnsi="宋体"/>
          <w:szCs w:val="24"/>
        </w:rPr>
        <w:t>1.3 数量（单位）：</w:t>
      </w:r>
    </w:p>
    <w:p>
      <w:pPr>
        <w:pStyle w:val="13"/>
        <w:numPr>
          <w:ilvl w:val="0"/>
          <w:numId w:val="1"/>
        </w:numPr>
        <w:snapToGrid w:val="0"/>
        <w:rPr>
          <w:rFonts w:hAnsi="宋体"/>
          <w:b/>
          <w:szCs w:val="24"/>
        </w:rPr>
      </w:pPr>
      <w:r>
        <w:rPr>
          <w:rFonts w:hAnsi="宋体"/>
          <w:b/>
          <w:szCs w:val="24"/>
        </w:rPr>
        <w:t>二、合同金额</w:t>
      </w:r>
    </w:p>
    <w:p>
      <w:pPr>
        <w:pStyle w:val="13"/>
        <w:numPr>
          <w:ilvl w:val="0"/>
          <w:numId w:val="1"/>
        </w:numPr>
        <w:adjustRightInd w:val="0"/>
        <w:snapToGrid w:val="0"/>
        <w:spacing w:line="336" w:lineRule="auto"/>
        <w:ind w:firstLine="480"/>
        <w:rPr>
          <w:rFonts w:hAnsi="宋体"/>
          <w:szCs w:val="24"/>
        </w:rPr>
      </w:pPr>
      <w:r>
        <w:rPr>
          <w:rFonts w:hAnsi="宋体"/>
          <w:szCs w:val="24"/>
        </w:rPr>
        <w:t>2.1 本合同金额为（大写）：____________________________________元（_______________元）人民币</w:t>
      </w:r>
      <w:r>
        <w:rPr>
          <w:rFonts w:hint="eastAsia" w:hAnsi="宋体"/>
          <w:szCs w:val="24"/>
        </w:rPr>
        <w:t>或其他币种</w:t>
      </w:r>
      <w:r>
        <w:rPr>
          <w:rFonts w:hAnsi="宋体"/>
          <w:szCs w:val="24"/>
        </w:rPr>
        <w:t>。</w:t>
      </w:r>
    </w:p>
    <w:p>
      <w:pPr>
        <w:pStyle w:val="13"/>
        <w:numPr>
          <w:ilvl w:val="0"/>
          <w:numId w:val="1"/>
        </w:numPr>
        <w:adjustRightInd w:val="0"/>
        <w:snapToGrid w:val="0"/>
        <w:spacing w:line="336" w:lineRule="auto"/>
        <w:ind w:firstLine="480"/>
        <w:rPr>
          <w:rFonts w:hAnsi="宋体"/>
          <w:szCs w:val="24"/>
        </w:rPr>
      </w:pPr>
      <w:r>
        <w:rPr>
          <w:rFonts w:hint="eastAsia" w:hAnsi="宋体"/>
          <w:szCs w:val="24"/>
        </w:rPr>
        <w:t>2.2</w:t>
      </w:r>
      <w:r>
        <w:rPr>
          <w:rFonts w:hAnsi="宋体"/>
          <w:szCs w:val="24"/>
        </w:rPr>
        <w:t>当采购数量与实际使用数量不一致时，</w:t>
      </w:r>
      <w:r>
        <w:rPr>
          <w:rFonts w:hint="eastAsia" w:hAnsi="宋体"/>
          <w:szCs w:val="24"/>
        </w:rPr>
        <w:t>乙方</w:t>
      </w:r>
      <w:r>
        <w:rPr>
          <w:rFonts w:hAnsi="宋体"/>
          <w:szCs w:val="24"/>
        </w:rPr>
        <w:t>应根据实际使用量供货，合同的最终结算金额按实际使用量乘以成交单价进行计算。</w:t>
      </w:r>
    </w:p>
    <w:p>
      <w:pPr>
        <w:pStyle w:val="13"/>
        <w:numPr>
          <w:ilvl w:val="0"/>
          <w:numId w:val="1"/>
        </w:numPr>
        <w:snapToGrid w:val="0"/>
        <w:rPr>
          <w:rFonts w:hAnsi="宋体"/>
          <w:b/>
          <w:szCs w:val="24"/>
        </w:rPr>
      </w:pPr>
      <w:r>
        <w:rPr>
          <w:rFonts w:hAnsi="宋体"/>
          <w:b/>
          <w:szCs w:val="24"/>
        </w:rPr>
        <w:t>三、技术资料</w:t>
      </w:r>
    </w:p>
    <w:p>
      <w:pPr>
        <w:pStyle w:val="13"/>
        <w:numPr>
          <w:ilvl w:val="0"/>
          <w:numId w:val="1"/>
        </w:numPr>
        <w:adjustRightInd w:val="0"/>
        <w:snapToGrid w:val="0"/>
        <w:spacing w:line="336" w:lineRule="auto"/>
        <w:ind w:firstLine="480"/>
        <w:rPr>
          <w:rFonts w:hAnsi="宋体"/>
          <w:szCs w:val="24"/>
        </w:rPr>
      </w:pPr>
      <w:r>
        <w:rPr>
          <w:rFonts w:hAnsi="宋体"/>
          <w:szCs w:val="24"/>
        </w:rPr>
        <w:t>3.1乙方应按招标文件规定的时间向甲方提供使用货物的有关技术资料</w:t>
      </w:r>
      <w:r>
        <w:rPr>
          <w:rFonts w:hint="eastAsia" w:hAnsi="宋体"/>
          <w:szCs w:val="24"/>
        </w:rPr>
        <w:t>，包含但不限于符合甲方相关标准要求的全部程序源代码及说明材料、项目中使用的第三方产品及授权材料等</w:t>
      </w:r>
      <w:r>
        <w:rPr>
          <w:rFonts w:hAnsi="宋体"/>
          <w:szCs w:val="24"/>
        </w:rPr>
        <w:t>。</w:t>
      </w:r>
      <w:r>
        <w:rPr>
          <w:rFonts w:hint="eastAsia" w:hAnsi="宋体"/>
          <w:szCs w:val="24"/>
        </w:rPr>
        <w:t>谈判人必须接受招标人对项目过程中间产品（系统设计文档、系统开发文档、系统测试用例及测试报告、变更文档、用户手册等）的管理要求。</w:t>
      </w:r>
    </w:p>
    <w:p>
      <w:pPr>
        <w:pStyle w:val="13"/>
        <w:numPr>
          <w:ilvl w:val="0"/>
          <w:numId w:val="1"/>
        </w:numPr>
        <w:adjustRightInd w:val="0"/>
        <w:snapToGrid w:val="0"/>
        <w:spacing w:line="336" w:lineRule="auto"/>
        <w:ind w:firstLine="480"/>
        <w:rPr>
          <w:rFonts w:hAnsi="宋体"/>
          <w:szCs w:val="24"/>
        </w:rPr>
      </w:pPr>
      <w:r>
        <w:rPr>
          <w:rFonts w:hAnsi="宋体"/>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numPr>
          <w:ilvl w:val="0"/>
          <w:numId w:val="1"/>
        </w:numPr>
        <w:snapToGrid w:val="0"/>
        <w:ind w:left="360" w:hanging="360"/>
        <w:rPr>
          <w:rFonts w:hAnsi="宋体"/>
          <w:b/>
          <w:szCs w:val="24"/>
        </w:rPr>
      </w:pPr>
      <w:r>
        <w:rPr>
          <w:rFonts w:hAnsi="宋体"/>
          <w:b/>
          <w:szCs w:val="24"/>
        </w:rPr>
        <w:t>四、知识产权</w:t>
      </w:r>
    </w:p>
    <w:p>
      <w:pPr>
        <w:pStyle w:val="13"/>
        <w:numPr>
          <w:ilvl w:val="0"/>
          <w:numId w:val="1"/>
        </w:numPr>
        <w:adjustRightInd w:val="0"/>
        <w:snapToGrid w:val="0"/>
        <w:spacing w:line="336" w:lineRule="auto"/>
        <w:ind w:firstLine="480"/>
        <w:rPr>
          <w:rFonts w:hAnsi="宋体"/>
          <w:szCs w:val="24"/>
        </w:rPr>
      </w:pPr>
      <w:r>
        <w:rPr>
          <w:rFonts w:hAnsi="宋体"/>
          <w:szCs w:val="24"/>
        </w:rPr>
        <w:t>4.1乙</w:t>
      </w:r>
      <w:r>
        <w:rPr>
          <w:rFonts w:hint="eastAsia" w:hAnsi="宋体"/>
          <w:szCs w:val="24"/>
        </w:rPr>
        <w:t>方应保证甲方在使用、接受本合同货物和服务或其任何一部分时不受第三方提出侵犯其专利权、版权、商标权和工业设计权等知识产权的起诉。一旦出现侵权，由乙方负全部责任。</w:t>
      </w:r>
    </w:p>
    <w:p>
      <w:pPr>
        <w:pStyle w:val="13"/>
        <w:numPr>
          <w:ilvl w:val="0"/>
          <w:numId w:val="1"/>
        </w:numPr>
        <w:snapToGrid w:val="0"/>
        <w:rPr>
          <w:rFonts w:hAnsi="宋体"/>
          <w:szCs w:val="24"/>
          <w:u w:val="single"/>
        </w:rPr>
      </w:pPr>
      <w:r>
        <w:rPr>
          <w:rFonts w:hAnsi="宋体"/>
          <w:b/>
          <w:szCs w:val="24"/>
        </w:rPr>
        <w:t>五、产权担保</w:t>
      </w:r>
    </w:p>
    <w:p>
      <w:pPr>
        <w:pStyle w:val="13"/>
        <w:numPr>
          <w:ilvl w:val="0"/>
          <w:numId w:val="1"/>
        </w:numPr>
        <w:adjustRightInd w:val="0"/>
        <w:snapToGrid w:val="0"/>
        <w:spacing w:line="336" w:lineRule="auto"/>
        <w:ind w:firstLine="480"/>
        <w:rPr>
          <w:rFonts w:hAnsi="宋体"/>
          <w:szCs w:val="24"/>
        </w:rPr>
      </w:pPr>
      <w:r>
        <w:rPr>
          <w:rFonts w:hAnsi="宋体"/>
          <w:szCs w:val="24"/>
        </w:rPr>
        <w:t>5.1 乙方保证所交付的货物的所有权完全属于乙方且无任何抵押、查封等产权瑕疵。</w:t>
      </w:r>
    </w:p>
    <w:p>
      <w:pPr>
        <w:pStyle w:val="13"/>
        <w:numPr>
          <w:ilvl w:val="0"/>
          <w:numId w:val="1"/>
        </w:numPr>
        <w:snapToGrid w:val="0"/>
        <w:ind w:left="358" w:hanging="358"/>
        <w:rPr>
          <w:rFonts w:hAnsi="宋体"/>
          <w:b/>
          <w:szCs w:val="24"/>
        </w:rPr>
      </w:pPr>
      <w:r>
        <w:rPr>
          <w:rFonts w:hAnsi="宋体"/>
          <w:b/>
          <w:szCs w:val="24"/>
        </w:rPr>
        <w:t>六、履约保证金</w:t>
      </w:r>
    </w:p>
    <w:p>
      <w:pPr>
        <w:pStyle w:val="13"/>
        <w:numPr>
          <w:ilvl w:val="0"/>
          <w:numId w:val="1"/>
        </w:numPr>
        <w:adjustRightInd w:val="0"/>
        <w:snapToGrid w:val="0"/>
        <w:spacing w:line="336" w:lineRule="auto"/>
        <w:ind w:firstLine="480"/>
        <w:rPr>
          <w:rFonts w:hAnsi="宋体"/>
          <w:szCs w:val="24"/>
        </w:rPr>
      </w:pPr>
      <w:r>
        <w:rPr>
          <w:rFonts w:hAnsi="宋体"/>
          <w:szCs w:val="24"/>
        </w:rPr>
        <w:t>6.1 乙方交纳人民币______元作为本合同的履约保证金。</w:t>
      </w:r>
    </w:p>
    <w:p>
      <w:pPr>
        <w:pStyle w:val="13"/>
        <w:numPr>
          <w:ilvl w:val="0"/>
          <w:numId w:val="1"/>
        </w:numPr>
        <w:snapToGrid w:val="0"/>
        <w:ind w:left="358" w:hanging="358"/>
        <w:rPr>
          <w:rFonts w:hAnsi="宋体"/>
          <w:b/>
          <w:szCs w:val="24"/>
        </w:rPr>
      </w:pPr>
      <w:r>
        <w:rPr>
          <w:rFonts w:hint="eastAsia" w:hAnsi="宋体"/>
          <w:b/>
          <w:szCs w:val="24"/>
        </w:rPr>
        <w:t>七、转包或分包</w:t>
      </w:r>
    </w:p>
    <w:p>
      <w:pPr>
        <w:pStyle w:val="13"/>
        <w:numPr>
          <w:ilvl w:val="0"/>
          <w:numId w:val="1"/>
        </w:numPr>
        <w:adjustRightInd w:val="0"/>
        <w:snapToGrid w:val="0"/>
        <w:spacing w:line="336" w:lineRule="auto"/>
        <w:ind w:firstLine="480"/>
        <w:rPr>
          <w:rFonts w:hAnsi="宋体"/>
          <w:szCs w:val="24"/>
        </w:rPr>
      </w:pPr>
      <w:r>
        <w:rPr>
          <w:rFonts w:hAnsi="宋体"/>
          <w:szCs w:val="24"/>
        </w:rPr>
        <w:t>7.1</w:t>
      </w:r>
      <w:r>
        <w:rPr>
          <w:rFonts w:hint="eastAsia" w:hAnsi="宋体"/>
          <w:szCs w:val="24"/>
        </w:rPr>
        <w:t>本合同范围的货物，应由乙方直接供应，不得转让他人供应；</w:t>
      </w:r>
    </w:p>
    <w:p>
      <w:pPr>
        <w:pStyle w:val="13"/>
        <w:numPr>
          <w:ilvl w:val="0"/>
          <w:numId w:val="1"/>
        </w:numPr>
        <w:adjustRightInd w:val="0"/>
        <w:snapToGrid w:val="0"/>
        <w:spacing w:line="336" w:lineRule="auto"/>
        <w:ind w:firstLine="480"/>
        <w:rPr>
          <w:rFonts w:hAnsi="宋体"/>
          <w:szCs w:val="24"/>
        </w:rPr>
      </w:pPr>
      <w:r>
        <w:rPr>
          <w:rFonts w:hAnsi="宋体"/>
          <w:szCs w:val="24"/>
        </w:rPr>
        <w:t xml:space="preserve">7.2 </w:t>
      </w:r>
      <w:r>
        <w:rPr>
          <w:rFonts w:hint="eastAsia" w:hAnsi="宋体"/>
          <w:szCs w:val="24"/>
        </w:rPr>
        <w:t>除非得到甲方的书面同意，乙方不得部分分包给他人供应。</w:t>
      </w:r>
    </w:p>
    <w:p>
      <w:pPr>
        <w:pStyle w:val="13"/>
        <w:numPr>
          <w:ilvl w:val="0"/>
          <w:numId w:val="1"/>
        </w:numPr>
        <w:adjustRightInd w:val="0"/>
        <w:snapToGrid w:val="0"/>
        <w:spacing w:line="336" w:lineRule="auto"/>
        <w:ind w:firstLine="480"/>
        <w:rPr>
          <w:rFonts w:hAnsi="宋体"/>
          <w:szCs w:val="24"/>
        </w:rPr>
      </w:pPr>
      <w:r>
        <w:rPr>
          <w:rFonts w:hAnsi="宋体"/>
          <w:szCs w:val="24"/>
        </w:rPr>
        <w:t>7.3</w:t>
      </w:r>
      <w:r>
        <w:rPr>
          <w:rFonts w:hint="eastAsia" w:hAnsi="宋体"/>
          <w:szCs w:val="24"/>
        </w:rPr>
        <w:t>如有转让和未经甲方同意的分包行为，甲方有权给予终止合同。</w:t>
      </w:r>
    </w:p>
    <w:p>
      <w:pPr>
        <w:pStyle w:val="13"/>
        <w:numPr>
          <w:ilvl w:val="0"/>
          <w:numId w:val="1"/>
        </w:numPr>
        <w:snapToGrid w:val="0"/>
        <w:rPr>
          <w:rFonts w:hAnsi="宋体"/>
          <w:szCs w:val="24"/>
        </w:rPr>
      </w:pPr>
      <w:r>
        <w:rPr>
          <w:rFonts w:hAnsi="宋体"/>
          <w:b/>
          <w:szCs w:val="24"/>
        </w:rPr>
        <w:t>八、质保期</w:t>
      </w:r>
    </w:p>
    <w:p>
      <w:pPr>
        <w:pStyle w:val="13"/>
        <w:numPr>
          <w:ilvl w:val="0"/>
          <w:numId w:val="1"/>
        </w:numPr>
        <w:adjustRightInd w:val="0"/>
        <w:snapToGrid w:val="0"/>
        <w:spacing w:line="336" w:lineRule="auto"/>
        <w:ind w:firstLine="480"/>
        <w:rPr>
          <w:rFonts w:hAnsi="宋体"/>
          <w:szCs w:val="24"/>
        </w:rPr>
      </w:pPr>
      <w:r>
        <w:rPr>
          <w:rFonts w:hAnsi="宋体"/>
          <w:szCs w:val="24"/>
        </w:rPr>
        <w:t>8.1 质保期</w:t>
      </w:r>
      <w:r>
        <w:rPr>
          <w:rFonts w:hint="eastAsia" w:hAnsi="宋体"/>
          <w:szCs w:val="24"/>
          <w:u w:val="single"/>
        </w:rPr>
        <w:t xml:space="preserve">  </w:t>
      </w:r>
      <w:r>
        <w:rPr>
          <w:rFonts w:hAnsi="宋体"/>
          <w:szCs w:val="24"/>
        </w:rPr>
        <w:t>年。（自</w:t>
      </w:r>
      <w:r>
        <w:rPr>
          <w:rFonts w:hint="eastAsia" w:hAnsi="宋体"/>
          <w:szCs w:val="24"/>
        </w:rPr>
        <w:t>项目</w:t>
      </w:r>
      <w:r>
        <w:rPr>
          <w:rFonts w:hAnsi="宋体"/>
          <w:szCs w:val="24"/>
        </w:rPr>
        <w:t>验收合格之日起计）</w:t>
      </w:r>
    </w:p>
    <w:p>
      <w:pPr>
        <w:pStyle w:val="13"/>
        <w:numPr>
          <w:ilvl w:val="0"/>
          <w:numId w:val="1"/>
        </w:numPr>
        <w:snapToGrid w:val="0"/>
        <w:rPr>
          <w:rFonts w:hAnsi="宋体"/>
          <w:b/>
          <w:szCs w:val="24"/>
        </w:rPr>
      </w:pPr>
      <w:r>
        <w:rPr>
          <w:rFonts w:hAnsi="宋体"/>
          <w:b/>
          <w:szCs w:val="24"/>
        </w:rPr>
        <w:t>九、交货期、交货方式及交货地点</w:t>
      </w:r>
    </w:p>
    <w:p>
      <w:pPr>
        <w:pStyle w:val="13"/>
        <w:numPr>
          <w:ilvl w:val="0"/>
          <w:numId w:val="1"/>
        </w:numPr>
        <w:adjustRightInd w:val="0"/>
        <w:snapToGrid w:val="0"/>
        <w:spacing w:line="336" w:lineRule="auto"/>
        <w:ind w:firstLine="480"/>
        <w:rPr>
          <w:rFonts w:hAnsi="宋体"/>
          <w:szCs w:val="24"/>
        </w:rPr>
      </w:pPr>
      <w:r>
        <w:rPr>
          <w:rFonts w:hAnsi="宋体"/>
          <w:szCs w:val="24"/>
        </w:rPr>
        <w:t>9.1 交货期：</w:t>
      </w:r>
      <w:r>
        <w:rPr>
          <w:rFonts w:hint="eastAsia" w:hAnsi="宋体"/>
          <w:szCs w:val="24"/>
        </w:rPr>
        <w:t>自合同签订之日起30日内。</w:t>
      </w:r>
    </w:p>
    <w:p>
      <w:pPr>
        <w:pStyle w:val="13"/>
        <w:numPr>
          <w:ilvl w:val="0"/>
          <w:numId w:val="1"/>
        </w:numPr>
        <w:adjustRightInd w:val="0"/>
        <w:snapToGrid w:val="0"/>
        <w:spacing w:line="336" w:lineRule="auto"/>
        <w:ind w:firstLine="480"/>
        <w:rPr>
          <w:rFonts w:hAnsi="宋体"/>
          <w:szCs w:val="24"/>
        </w:rPr>
      </w:pPr>
      <w:r>
        <w:rPr>
          <w:rFonts w:hAnsi="宋体"/>
          <w:szCs w:val="24"/>
        </w:rPr>
        <w:t>9.2 交货方式：_________</w:t>
      </w:r>
    </w:p>
    <w:p>
      <w:pPr>
        <w:pStyle w:val="13"/>
        <w:numPr>
          <w:ilvl w:val="0"/>
          <w:numId w:val="1"/>
        </w:numPr>
        <w:adjustRightInd w:val="0"/>
        <w:snapToGrid w:val="0"/>
        <w:spacing w:line="336" w:lineRule="auto"/>
        <w:ind w:firstLine="480"/>
        <w:rPr>
          <w:rFonts w:hAnsi="宋体"/>
          <w:szCs w:val="24"/>
        </w:rPr>
      </w:pPr>
      <w:r>
        <w:rPr>
          <w:rFonts w:hAnsi="宋体"/>
          <w:szCs w:val="24"/>
        </w:rPr>
        <w:t>9.3 交货地点：_________</w:t>
      </w:r>
    </w:p>
    <w:p>
      <w:pPr>
        <w:pStyle w:val="13"/>
        <w:numPr>
          <w:ilvl w:val="0"/>
          <w:numId w:val="1"/>
        </w:numPr>
        <w:snapToGrid w:val="0"/>
        <w:rPr>
          <w:rFonts w:hAnsi="宋体"/>
          <w:b/>
          <w:szCs w:val="24"/>
        </w:rPr>
      </w:pPr>
      <w:r>
        <w:rPr>
          <w:rFonts w:hAnsi="宋体"/>
          <w:b/>
          <w:szCs w:val="24"/>
        </w:rPr>
        <w:t>十、货款支付</w:t>
      </w:r>
    </w:p>
    <w:p>
      <w:pPr>
        <w:pStyle w:val="63"/>
        <w:numPr>
          <w:ilvl w:val="0"/>
          <w:numId w:val="1"/>
        </w:numPr>
        <w:snapToGrid w:val="0"/>
        <w:ind w:firstLineChars="0"/>
        <w:rPr>
          <w:rFonts w:ascii="宋体" w:hAnsi="宋体" w:cs="Courier New"/>
          <w:szCs w:val="24"/>
        </w:rPr>
      </w:pPr>
      <w:r>
        <w:rPr>
          <w:rFonts w:hint="eastAsia" w:ascii="宋体" w:hAnsi="宋体" w:cs="Courier New"/>
          <w:szCs w:val="24"/>
        </w:rPr>
        <w:t>10.1 付款方式：_</w:t>
      </w:r>
      <w:r>
        <w:rPr>
          <w:rFonts w:hint="eastAsia" w:hAnsi="宋体"/>
          <w:color w:val="000000"/>
        </w:rPr>
        <w:t>全部设备到货后，安装调试结束,并经甲方验收合格后, 乙方向甲方出具全额专用增值税发票并提供合同总价的5%作为保证金，甲方一次性支付乙方合同总价。在项目交工验收合格后十二（12）个月后，甲方无息归还乙方5%的质保金</w:t>
      </w:r>
      <w:r>
        <w:rPr>
          <w:rFonts w:hint="eastAsia" w:hAnsi="宋体"/>
        </w:rPr>
        <w:t>。</w:t>
      </w:r>
    </w:p>
    <w:p>
      <w:pPr>
        <w:pStyle w:val="63"/>
        <w:numPr>
          <w:ilvl w:val="0"/>
          <w:numId w:val="1"/>
        </w:numPr>
        <w:snapToGrid w:val="0"/>
        <w:ind w:firstLineChars="0"/>
        <w:rPr>
          <w:rFonts w:ascii="宋体" w:hAnsi="宋体" w:cs="Courier New"/>
          <w:szCs w:val="24"/>
        </w:rPr>
      </w:pPr>
      <w:r>
        <w:rPr>
          <w:rFonts w:hint="eastAsia" w:ascii="宋体" w:hAnsi="宋体" w:cs="Courier New"/>
          <w:szCs w:val="24"/>
        </w:rPr>
        <w:t>10.2当采购数量与实际使用数量不一致时，乙方应根据实际使用量供货，合同的最终结算金额按实际使用量乘以成交单价进行计算。</w:t>
      </w:r>
    </w:p>
    <w:p>
      <w:pPr>
        <w:pStyle w:val="63"/>
        <w:numPr>
          <w:ilvl w:val="0"/>
          <w:numId w:val="1"/>
        </w:numPr>
        <w:snapToGrid w:val="0"/>
        <w:ind w:firstLineChars="0"/>
        <w:rPr>
          <w:rFonts w:ascii="宋体" w:hAnsi="宋体"/>
          <w:b/>
          <w:szCs w:val="24"/>
        </w:rPr>
      </w:pPr>
      <w:r>
        <w:rPr>
          <w:rFonts w:hint="eastAsia" w:ascii="宋体" w:hAnsi="宋体"/>
          <w:b/>
          <w:szCs w:val="24"/>
        </w:rPr>
        <w:t>十一、税</w:t>
      </w:r>
    </w:p>
    <w:p>
      <w:pPr>
        <w:pStyle w:val="13"/>
        <w:numPr>
          <w:ilvl w:val="0"/>
          <w:numId w:val="1"/>
        </w:numPr>
        <w:adjustRightInd w:val="0"/>
        <w:snapToGrid w:val="0"/>
        <w:spacing w:line="336" w:lineRule="auto"/>
        <w:ind w:firstLine="480"/>
        <w:rPr>
          <w:rFonts w:hAnsi="宋体"/>
          <w:szCs w:val="24"/>
        </w:rPr>
      </w:pPr>
      <w:r>
        <w:rPr>
          <w:rFonts w:hint="eastAsia" w:hAnsi="宋体"/>
          <w:szCs w:val="24"/>
        </w:rPr>
        <w:t>本合同执行中相关的一切税费均由乙方负担。</w:t>
      </w:r>
    </w:p>
    <w:p>
      <w:pPr>
        <w:pStyle w:val="13"/>
        <w:numPr>
          <w:ilvl w:val="0"/>
          <w:numId w:val="1"/>
        </w:numPr>
        <w:snapToGrid w:val="0"/>
        <w:rPr>
          <w:rFonts w:hAnsi="宋体"/>
          <w:szCs w:val="24"/>
        </w:rPr>
      </w:pPr>
      <w:r>
        <w:rPr>
          <w:rFonts w:hAnsi="宋体"/>
          <w:b/>
          <w:szCs w:val="24"/>
        </w:rPr>
        <w:t>十二、质量保证及售后服务</w:t>
      </w:r>
    </w:p>
    <w:p>
      <w:pPr>
        <w:pStyle w:val="13"/>
        <w:numPr>
          <w:ilvl w:val="0"/>
          <w:numId w:val="1"/>
        </w:numPr>
        <w:adjustRightInd w:val="0"/>
        <w:snapToGrid w:val="0"/>
        <w:spacing w:line="336" w:lineRule="auto"/>
        <w:ind w:firstLine="480"/>
        <w:rPr>
          <w:rFonts w:hAnsi="宋体"/>
          <w:szCs w:val="24"/>
        </w:rPr>
      </w:pPr>
      <w:r>
        <w:rPr>
          <w:rFonts w:hint="eastAsia" w:hAnsi="宋体"/>
          <w:szCs w:val="24"/>
        </w:rPr>
        <w:t>12.1 乙方应按招标文件规定的货物性能、技术要求、质量标准向甲方提供未经使用的全新产品。</w:t>
      </w:r>
    </w:p>
    <w:p>
      <w:pPr>
        <w:pStyle w:val="13"/>
        <w:numPr>
          <w:ilvl w:val="0"/>
          <w:numId w:val="1"/>
        </w:numPr>
        <w:adjustRightInd w:val="0"/>
        <w:snapToGrid w:val="0"/>
        <w:spacing w:line="336" w:lineRule="auto"/>
        <w:ind w:firstLine="480"/>
        <w:rPr>
          <w:rFonts w:hAnsi="宋体"/>
          <w:szCs w:val="24"/>
        </w:rPr>
      </w:pPr>
      <w:r>
        <w:rPr>
          <w:rFonts w:hint="eastAsia" w:hAnsi="宋体"/>
          <w:szCs w:val="24"/>
        </w:rPr>
        <w:t>12.2 乙方提供的货物在质量期内因货物本身的质量问题发生故障，乙方应负责免费更换。对达不到技术要求者，根据实际情况，经双方协商，可按以下办法处理：</w:t>
      </w:r>
    </w:p>
    <w:p>
      <w:pPr>
        <w:pStyle w:val="13"/>
        <w:numPr>
          <w:ilvl w:val="0"/>
          <w:numId w:val="1"/>
        </w:numPr>
        <w:adjustRightInd w:val="0"/>
        <w:snapToGrid w:val="0"/>
        <w:spacing w:line="336" w:lineRule="auto"/>
        <w:ind w:firstLine="480"/>
        <w:rPr>
          <w:rFonts w:hAnsi="宋体"/>
          <w:szCs w:val="24"/>
        </w:rPr>
      </w:pPr>
      <w:r>
        <w:rPr>
          <w:rFonts w:hint="eastAsia" w:hAnsi="宋体"/>
          <w:szCs w:val="24"/>
        </w:rPr>
        <w:t>⑴更换：由乙方承担所发生的全部费用。</w:t>
      </w:r>
    </w:p>
    <w:p>
      <w:pPr>
        <w:pStyle w:val="13"/>
        <w:numPr>
          <w:ilvl w:val="0"/>
          <w:numId w:val="1"/>
        </w:numPr>
        <w:adjustRightInd w:val="0"/>
        <w:snapToGrid w:val="0"/>
        <w:spacing w:line="336" w:lineRule="auto"/>
        <w:ind w:firstLine="480"/>
        <w:rPr>
          <w:rFonts w:hAnsi="宋体"/>
          <w:szCs w:val="24"/>
        </w:rPr>
      </w:pPr>
      <w:r>
        <w:rPr>
          <w:rFonts w:hint="eastAsia" w:hAnsi="宋体"/>
          <w:szCs w:val="24"/>
        </w:rPr>
        <w:t>⑵贬值处理：由甲乙双方合议定价。</w:t>
      </w:r>
    </w:p>
    <w:p>
      <w:pPr>
        <w:pStyle w:val="13"/>
        <w:numPr>
          <w:ilvl w:val="0"/>
          <w:numId w:val="1"/>
        </w:numPr>
        <w:adjustRightInd w:val="0"/>
        <w:snapToGrid w:val="0"/>
        <w:spacing w:line="336" w:lineRule="auto"/>
        <w:ind w:firstLine="480"/>
        <w:rPr>
          <w:rFonts w:hAnsi="宋体"/>
          <w:szCs w:val="24"/>
        </w:rPr>
      </w:pPr>
      <w:r>
        <w:rPr>
          <w:rFonts w:hint="eastAsia" w:hAnsi="宋体"/>
          <w:szCs w:val="24"/>
        </w:rPr>
        <w:t>⑶退货处理：乙方应退还甲方支付的合同款，同时应承担该货物的直接费用（运输、保险、检验、货款利息及银行手续费等）。</w:t>
      </w:r>
    </w:p>
    <w:p>
      <w:pPr>
        <w:pStyle w:val="13"/>
        <w:numPr>
          <w:ilvl w:val="0"/>
          <w:numId w:val="1"/>
        </w:numPr>
        <w:adjustRightInd w:val="0"/>
        <w:snapToGrid w:val="0"/>
        <w:spacing w:line="336" w:lineRule="auto"/>
        <w:ind w:firstLine="480"/>
        <w:rPr>
          <w:rFonts w:hAnsi="宋体"/>
          <w:szCs w:val="24"/>
        </w:rPr>
      </w:pPr>
      <w:r>
        <w:rPr>
          <w:rFonts w:hint="eastAsia" w:hAnsi="宋体"/>
          <w:szCs w:val="24"/>
        </w:rPr>
        <w:t>12.3 如在使用过程中发生质量问题，乙方在接到甲方通知后在_________小时内到达甲方现场。</w:t>
      </w:r>
    </w:p>
    <w:p>
      <w:pPr>
        <w:pStyle w:val="13"/>
        <w:numPr>
          <w:ilvl w:val="0"/>
          <w:numId w:val="1"/>
        </w:numPr>
        <w:adjustRightInd w:val="0"/>
        <w:snapToGrid w:val="0"/>
        <w:spacing w:line="336" w:lineRule="auto"/>
        <w:ind w:firstLine="480"/>
        <w:rPr>
          <w:rFonts w:hAnsi="宋体"/>
          <w:szCs w:val="24"/>
        </w:rPr>
      </w:pPr>
      <w:r>
        <w:rPr>
          <w:rFonts w:hint="eastAsia" w:hAnsi="宋体"/>
          <w:szCs w:val="24"/>
        </w:rPr>
        <w:t>12.4 在质保期内，乙方应对货物出现的质量及安全问题负责处理解决并承担一切费用。</w:t>
      </w:r>
    </w:p>
    <w:p>
      <w:pPr>
        <w:pStyle w:val="13"/>
        <w:numPr>
          <w:ilvl w:val="0"/>
          <w:numId w:val="1"/>
        </w:numPr>
        <w:adjustRightInd w:val="0"/>
        <w:snapToGrid w:val="0"/>
        <w:spacing w:line="336" w:lineRule="auto"/>
        <w:ind w:firstLine="480"/>
        <w:rPr>
          <w:rFonts w:hAnsi="宋体"/>
          <w:szCs w:val="24"/>
        </w:rPr>
      </w:pPr>
      <w:r>
        <w:rPr>
          <w:rFonts w:hint="eastAsia" w:hAnsi="宋体"/>
          <w:szCs w:val="24"/>
        </w:rPr>
        <w:t>12.5上述的货物免费保修期为</w:t>
      </w:r>
      <w:r>
        <w:rPr>
          <w:rFonts w:hint="eastAsia" w:hAnsi="宋体"/>
          <w:szCs w:val="24"/>
          <w:u w:val="single"/>
        </w:rPr>
        <w:t xml:space="preserve">     </w:t>
      </w:r>
      <w:r>
        <w:rPr>
          <w:rFonts w:hint="eastAsia" w:hAnsi="宋体"/>
          <w:szCs w:val="24"/>
        </w:rPr>
        <w:t>年，因人为因素出现的故障不在免费保修范围内。超过保修期的机器设备，终生维修，维修时只收部件成本费。。</w:t>
      </w:r>
    </w:p>
    <w:p>
      <w:pPr>
        <w:pStyle w:val="13"/>
        <w:numPr>
          <w:ilvl w:val="0"/>
          <w:numId w:val="1"/>
        </w:numPr>
        <w:snapToGrid w:val="0"/>
        <w:ind w:firstLine="183"/>
        <w:rPr>
          <w:rFonts w:hAnsi="宋体"/>
          <w:b/>
          <w:szCs w:val="24"/>
        </w:rPr>
      </w:pPr>
      <w:r>
        <w:rPr>
          <w:rFonts w:hAnsi="宋体"/>
          <w:b/>
          <w:szCs w:val="24"/>
        </w:rPr>
        <w:t>十三、调试和验收</w:t>
      </w:r>
    </w:p>
    <w:p>
      <w:pPr>
        <w:pStyle w:val="13"/>
        <w:numPr>
          <w:ilvl w:val="0"/>
          <w:numId w:val="1"/>
        </w:numPr>
        <w:adjustRightInd w:val="0"/>
        <w:snapToGrid w:val="0"/>
        <w:spacing w:line="336" w:lineRule="auto"/>
        <w:ind w:firstLine="480"/>
        <w:rPr>
          <w:rFonts w:hAnsi="宋体"/>
          <w:szCs w:val="24"/>
        </w:rPr>
      </w:pPr>
      <w:r>
        <w:rPr>
          <w:rFonts w:hint="eastAsia" w:hAnsi="宋体"/>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3"/>
        <w:numPr>
          <w:ilvl w:val="0"/>
          <w:numId w:val="1"/>
        </w:numPr>
        <w:adjustRightInd w:val="0"/>
        <w:snapToGrid w:val="0"/>
        <w:spacing w:line="336" w:lineRule="auto"/>
        <w:ind w:firstLine="480"/>
        <w:rPr>
          <w:rFonts w:hAnsi="宋体"/>
          <w:szCs w:val="24"/>
        </w:rPr>
      </w:pPr>
      <w:r>
        <w:rPr>
          <w:rFonts w:hint="eastAsia" w:hAnsi="宋体"/>
          <w:szCs w:val="24"/>
        </w:rPr>
        <w:t>13.2 乙方交货前应对产品作出全面检查和对验收文件进行整理，并列出清单，作为甲方收货验收和使用的技术条件依据，检验的结果应随货物交甲方。</w:t>
      </w:r>
    </w:p>
    <w:p>
      <w:pPr>
        <w:pStyle w:val="13"/>
        <w:numPr>
          <w:ilvl w:val="0"/>
          <w:numId w:val="1"/>
        </w:numPr>
        <w:adjustRightInd w:val="0"/>
        <w:snapToGrid w:val="0"/>
        <w:spacing w:line="336" w:lineRule="auto"/>
        <w:ind w:firstLine="480"/>
        <w:rPr>
          <w:rFonts w:hAnsi="宋体"/>
          <w:szCs w:val="24"/>
        </w:rPr>
      </w:pPr>
      <w:r>
        <w:rPr>
          <w:rFonts w:hint="eastAsia" w:hAnsi="宋体"/>
          <w:szCs w:val="24"/>
        </w:rPr>
        <w:t>13.3 甲方对乙方提供的货物在使用前进行调试时，乙方需负责安装并培训甲方的使用操作人员，并协助甲方一起调试，直到符合技术要求，甲方才做最终验收。</w:t>
      </w:r>
    </w:p>
    <w:p>
      <w:pPr>
        <w:pStyle w:val="13"/>
        <w:numPr>
          <w:ilvl w:val="0"/>
          <w:numId w:val="1"/>
        </w:numPr>
        <w:adjustRightInd w:val="0"/>
        <w:snapToGrid w:val="0"/>
        <w:spacing w:line="336" w:lineRule="auto"/>
        <w:ind w:firstLine="480"/>
        <w:rPr>
          <w:rFonts w:hAnsi="宋体"/>
          <w:szCs w:val="24"/>
        </w:rPr>
      </w:pPr>
      <w:r>
        <w:rPr>
          <w:rFonts w:hint="eastAsia" w:hAnsi="宋体"/>
          <w:szCs w:val="24"/>
        </w:rPr>
        <w:t>13.4 对技术复杂的货物，甲方可请国家认可的专业检测机构参与初步验收及最终验收，并由其出具质量检测报告。</w:t>
      </w:r>
    </w:p>
    <w:p>
      <w:pPr>
        <w:pStyle w:val="13"/>
        <w:numPr>
          <w:ilvl w:val="0"/>
          <w:numId w:val="1"/>
        </w:numPr>
        <w:adjustRightInd w:val="0"/>
        <w:snapToGrid w:val="0"/>
        <w:spacing w:line="336" w:lineRule="auto"/>
        <w:ind w:firstLine="480"/>
        <w:rPr>
          <w:rFonts w:hAnsi="宋体"/>
          <w:szCs w:val="24"/>
        </w:rPr>
      </w:pPr>
      <w:r>
        <w:rPr>
          <w:rFonts w:hint="eastAsia" w:hAnsi="宋体"/>
          <w:szCs w:val="24"/>
        </w:rPr>
        <w:t>13.5 验收时乙方必须在现场，验收完毕后作出验收结果报告；验收费用由甲乙双方协商解决。</w:t>
      </w:r>
    </w:p>
    <w:p>
      <w:pPr>
        <w:pStyle w:val="13"/>
        <w:numPr>
          <w:ilvl w:val="0"/>
          <w:numId w:val="1"/>
        </w:numPr>
        <w:snapToGrid w:val="0"/>
        <w:rPr>
          <w:rFonts w:hAnsi="宋体"/>
          <w:b/>
          <w:szCs w:val="24"/>
        </w:rPr>
      </w:pPr>
      <w:r>
        <w:rPr>
          <w:rFonts w:hAnsi="宋体"/>
          <w:b/>
          <w:szCs w:val="24"/>
        </w:rPr>
        <w:t>十四、违约责任</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4</w:t>
      </w:r>
      <w:r>
        <w:rPr>
          <w:rFonts w:hAnsi="宋体"/>
          <w:szCs w:val="24"/>
        </w:rPr>
        <w:t>.1 甲方无正当理由拒收货物的，甲方向乙方偿付拒收货款总值的百分之五违约金。</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4</w:t>
      </w:r>
      <w:r>
        <w:rPr>
          <w:rFonts w:hAnsi="宋体"/>
          <w:szCs w:val="24"/>
        </w:rPr>
        <w:t>.2 甲方无故逾期验收和办理货款支付手续的,甲方应按逾期付款总额每日万分之五向乙方支付违约金。</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4</w:t>
      </w:r>
      <w:r>
        <w:rPr>
          <w:rFonts w:hAnsi="宋体"/>
          <w:szCs w:val="24"/>
        </w:rPr>
        <w:t>.3 乙方逾期交付货物的，乙方应按逾期交货总额每日千分之</w:t>
      </w:r>
      <w:r>
        <w:rPr>
          <w:rFonts w:hint="eastAsia" w:hAnsi="宋体"/>
          <w:szCs w:val="24"/>
        </w:rPr>
        <w:t>五</w:t>
      </w:r>
      <w:r>
        <w:rPr>
          <w:rFonts w:hAnsi="宋体"/>
          <w:szCs w:val="24"/>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4</w:t>
      </w:r>
      <w:r>
        <w:rPr>
          <w:rFonts w:hAnsi="宋体"/>
          <w:szCs w:val="24"/>
        </w:rPr>
        <w:t>.4 乙方所交的货物品种、规格、技术参数、质量不符合合同规定及招标文件规定标准的，甲方有权拒收该货物，乙方愿意更换货物但逾期交货的，按乙方逾期交货处理。乙方拒绝更换货物的，甲方可单方面解除合同。</w:t>
      </w:r>
    </w:p>
    <w:p>
      <w:pPr>
        <w:pStyle w:val="13"/>
        <w:numPr>
          <w:ilvl w:val="0"/>
          <w:numId w:val="1"/>
        </w:numPr>
        <w:snapToGrid w:val="0"/>
        <w:rPr>
          <w:rFonts w:hAnsi="宋体"/>
          <w:b/>
          <w:szCs w:val="24"/>
        </w:rPr>
      </w:pPr>
      <w:r>
        <w:rPr>
          <w:rFonts w:hAnsi="宋体"/>
          <w:b/>
          <w:szCs w:val="24"/>
        </w:rPr>
        <w:t>十</w:t>
      </w:r>
      <w:r>
        <w:rPr>
          <w:rFonts w:hint="eastAsia" w:hAnsi="宋体"/>
          <w:b/>
          <w:szCs w:val="24"/>
        </w:rPr>
        <w:t>五</w:t>
      </w:r>
      <w:r>
        <w:rPr>
          <w:rFonts w:hAnsi="宋体"/>
          <w:b/>
          <w:szCs w:val="24"/>
        </w:rPr>
        <w:t>、不可抗力事件处理</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5</w:t>
      </w:r>
      <w:r>
        <w:rPr>
          <w:rFonts w:hAnsi="宋体"/>
          <w:szCs w:val="24"/>
        </w:rPr>
        <w:t>.1 在合同有效期内，任何一方因不可抗力事件导致不能履行合同，则合同履行期可延长，其延长期与不可抗力影响期相同。</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5</w:t>
      </w:r>
      <w:r>
        <w:rPr>
          <w:rFonts w:hAnsi="宋体"/>
          <w:szCs w:val="24"/>
        </w:rPr>
        <w:t>.2 不可抗力事件发生后，应立即通知对方，并寄送有关权威机构出具的证明。</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5</w:t>
      </w:r>
      <w:r>
        <w:rPr>
          <w:rFonts w:hAnsi="宋体"/>
          <w:szCs w:val="24"/>
        </w:rPr>
        <w:t>.3 不可抗力事件延续120天以上，双方应通过友好协商，确定是否继续履行合同。</w:t>
      </w:r>
    </w:p>
    <w:p>
      <w:pPr>
        <w:pStyle w:val="13"/>
        <w:numPr>
          <w:ilvl w:val="0"/>
          <w:numId w:val="1"/>
        </w:numPr>
        <w:snapToGrid w:val="0"/>
        <w:rPr>
          <w:rFonts w:hAnsi="宋体"/>
          <w:b/>
          <w:szCs w:val="24"/>
        </w:rPr>
      </w:pPr>
      <w:r>
        <w:rPr>
          <w:rFonts w:hAnsi="宋体"/>
          <w:b/>
          <w:szCs w:val="24"/>
        </w:rPr>
        <w:t>十</w:t>
      </w:r>
      <w:r>
        <w:rPr>
          <w:rFonts w:hint="eastAsia" w:hAnsi="宋体"/>
          <w:b/>
          <w:szCs w:val="24"/>
        </w:rPr>
        <w:t>六</w:t>
      </w:r>
      <w:r>
        <w:rPr>
          <w:rFonts w:hAnsi="宋体"/>
          <w:b/>
          <w:szCs w:val="24"/>
        </w:rPr>
        <w:t>、诉讼</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6</w:t>
      </w:r>
      <w:r>
        <w:rPr>
          <w:rFonts w:hAnsi="宋体"/>
          <w:szCs w:val="24"/>
        </w:rPr>
        <w:t>.1 双方在执行合同中所发生的一切争议，应通过协商解决。如协商不成，可向合同签订地法院起诉，合同签订地在此约定为南京市。</w:t>
      </w:r>
    </w:p>
    <w:p>
      <w:pPr>
        <w:pStyle w:val="13"/>
        <w:numPr>
          <w:ilvl w:val="0"/>
          <w:numId w:val="1"/>
        </w:numPr>
        <w:snapToGrid w:val="0"/>
        <w:rPr>
          <w:rFonts w:hAnsi="宋体"/>
          <w:b/>
          <w:szCs w:val="24"/>
        </w:rPr>
      </w:pPr>
      <w:r>
        <w:rPr>
          <w:rFonts w:hAnsi="宋体"/>
          <w:b/>
          <w:szCs w:val="24"/>
        </w:rPr>
        <w:t>十</w:t>
      </w:r>
      <w:r>
        <w:rPr>
          <w:rFonts w:hint="eastAsia" w:hAnsi="宋体"/>
          <w:b/>
          <w:szCs w:val="24"/>
        </w:rPr>
        <w:t>七</w:t>
      </w:r>
      <w:r>
        <w:rPr>
          <w:rFonts w:hAnsi="宋体"/>
          <w:b/>
          <w:szCs w:val="24"/>
        </w:rPr>
        <w:t>、合同生效及其它</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7</w:t>
      </w:r>
      <w:r>
        <w:rPr>
          <w:rFonts w:hAnsi="宋体"/>
          <w:szCs w:val="24"/>
        </w:rPr>
        <w:t>.1 合同经双方法定代表人或授权委托代</w:t>
      </w:r>
      <w:r>
        <w:rPr>
          <w:rFonts w:hint="eastAsia" w:hAnsi="宋体"/>
          <w:szCs w:val="24"/>
        </w:rPr>
        <w:t>表</w:t>
      </w:r>
      <w:r>
        <w:rPr>
          <w:rFonts w:hAnsi="宋体"/>
          <w:szCs w:val="24"/>
        </w:rPr>
        <w:t>人签字并加盖单位公章</w:t>
      </w:r>
      <w:r>
        <w:rPr>
          <w:rFonts w:hint="eastAsia" w:hAnsi="宋体"/>
          <w:szCs w:val="24"/>
        </w:rPr>
        <w:t>，并经南京信息职业技术学院见证盖章</w:t>
      </w:r>
      <w:r>
        <w:rPr>
          <w:rFonts w:hAnsi="宋体"/>
          <w:szCs w:val="24"/>
        </w:rPr>
        <w:t>后生效。</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7</w:t>
      </w:r>
      <w:r>
        <w:rPr>
          <w:rFonts w:hAnsi="宋体"/>
          <w:szCs w:val="24"/>
        </w:rPr>
        <w:t>.2本合同未尽事宜，遵照《合同法》有关条文执行。</w:t>
      </w:r>
    </w:p>
    <w:p>
      <w:pPr>
        <w:pStyle w:val="13"/>
        <w:numPr>
          <w:ilvl w:val="0"/>
          <w:numId w:val="1"/>
        </w:numPr>
        <w:adjustRightInd w:val="0"/>
        <w:snapToGrid w:val="0"/>
        <w:spacing w:line="336" w:lineRule="auto"/>
        <w:ind w:firstLine="480"/>
        <w:rPr>
          <w:rFonts w:hAnsi="宋体"/>
          <w:szCs w:val="24"/>
        </w:rPr>
      </w:pPr>
      <w:r>
        <w:rPr>
          <w:rFonts w:hAnsi="宋体"/>
          <w:szCs w:val="24"/>
        </w:rPr>
        <w:t>1</w:t>
      </w:r>
      <w:r>
        <w:rPr>
          <w:rFonts w:hint="eastAsia" w:hAnsi="宋体"/>
          <w:szCs w:val="24"/>
        </w:rPr>
        <w:t>7</w:t>
      </w:r>
      <w:r>
        <w:rPr>
          <w:rFonts w:hAnsi="宋体"/>
          <w:szCs w:val="24"/>
        </w:rPr>
        <w:t>.</w:t>
      </w:r>
      <w:r>
        <w:rPr>
          <w:rFonts w:hint="eastAsia" w:hAnsi="宋体"/>
          <w:szCs w:val="24"/>
        </w:rPr>
        <w:t>3</w:t>
      </w:r>
      <w:r>
        <w:rPr>
          <w:rFonts w:hAnsi="宋体"/>
          <w:szCs w:val="24"/>
        </w:rPr>
        <w:t xml:space="preserve"> 本合同正本一式</w:t>
      </w:r>
      <w:r>
        <w:rPr>
          <w:rFonts w:hint="eastAsia" w:hAnsi="宋体"/>
          <w:szCs w:val="24"/>
        </w:rPr>
        <w:t>四</w:t>
      </w:r>
      <w:r>
        <w:rPr>
          <w:rFonts w:hAnsi="宋体"/>
          <w:szCs w:val="24"/>
        </w:rPr>
        <w:t>份，具有同等法律效力，甲</w:t>
      </w:r>
      <w:r>
        <w:rPr>
          <w:rFonts w:hint="eastAsia" w:hAnsi="宋体"/>
          <w:szCs w:val="24"/>
        </w:rPr>
        <w:t>方、</w:t>
      </w:r>
      <w:r>
        <w:rPr>
          <w:rFonts w:hAnsi="宋体"/>
          <w:szCs w:val="24"/>
        </w:rPr>
        <w:t>乙方各执</w:t>
      </w:r>
      <w:r>
        <w:rPr>
          <w:rFonts w:hint="eastAsia" w:hAnsi="宋体"/>
          <w:szCs w:val="24"/>
        </w:rPr>
        <w:t>二</w:t>
      </w:r>
      <w:r>
        <w:rPr>
          <w:rFonts w:hAnsi="宋体"/>
          <w:szCs w:val="24"/>
        </w:rPr>
        <w:t>份。</w:t>
      </w:r>
    </w:p>
    <w:p>
      <w:pPr>
        <w:pStyle w:val="13"/>
        <w:numPr>
          <w:ilvl w:val="0"/>
          <w:numId w:val="1"/>
        </w:numPr>
        <w:adjustRightInd w:val="0"/>
        <w:snapToGrid w:val="0"/>
        <w:spacing w:line="336" w:lineRule="auto"/>
        <w:ind w:firstLine="480"/>
        <w:rPr>
          <w:rFonts w:hAnsi="宋体"/>
          <w:szCs w:val="24"/>
        </w:rPr>
      </w:pPr>
      <w:r>
        <w:rPr>
          <w:rFonts w:hAnsi="宋体"/>
          <w:szCs w:val="24"/>
        </w:rPr>
        <w:t xml:space="preserve">  甲方：                                   乙方： </w:t>
      </w:r>
    </w:p>
    <w:p>
      <w:pPr>
        <w:pStyle w:val="13"/>
        <w:numPr>
          <w:ilvl w:val="0"/>
          <w:numId w:val="1"/>
        </w:numPr>
        <w:adjustRightInd w:val="0"/>
        <w:snapToGrid w:val="0"/>
        <w:spacing w:line="336" w:lineRule="auto"/>
        <w:ind w:firstLine="480"/>
        <w:rPr>
          <w:rFonts w:hAnsi="宋体"/>
          <w:szCs w:val="24"/>
        </w:rPr>
      </w:pPr>
      <w:r>
        <w:rPr>
          <w:rFonts w:hAnsi="宋体"/>
          <w:szCs w:val="24"/>
        </w:rPr>
        <w:t xml:space="preserve">  地址：                                   地址： </w:t>
      </w:r>
    </w:p>
    <w:p>
      <w:pPr>
        <w:pStyle w:val="13"/>
        <w:numPr>
          <w:ilvl w:val="0"/>
          <w:numId w:val="1"/>
        </w:numPr>
        <w:adjustRightInd w:val="0"/>
        <w:snapToGrid w:val="0"/>
        <w:spacing w:line="336" w:lineRule="auto"/>
        <w:ind w:firstLine="480"/>
        <w:rPr>
          <w:rFonts w:hAnsi="宋体"/>
          <w:szCs w:val="24"/>
        </w:rPr>
      </w:pPr>
      <w:r>
        <w:rPr>
          <w:rFonts w:hAnsi="宋体"/>
          <w:szCs w:val="24"/>
        </w:rPr>
        <w:t xml:space="preserve">  法定代表人</w:t>
      </w:r>
      <w:r>
        <w:rPr>
          <w:rFonts w:hint="eastAsia" w:hAnsi="宋体"/>
          <w:szCs w:val="24"/>
        </w:rPr>
        <w:t>或授权代表</w:t>
      </w:r>
      <w:r>
        <w:rPr>
          <w:rFonts w:hAnsi="宋体"/>
          <w:szCs w:val="24"/>
        </w:rPr>
        <w:t>：                   法定代表人</w:t>
      </w:r>
      <w:r>
        <w:rPr>
          <w:rFonts w:hint="eastAsia" w:hAnsi="宋体"/>
          <w:szCs w:val="24"/>
        </w:rPr>
        <w:t>或授权代表</w:t>
      </w:r>
      <w:r>
        <w:rPr>
          <w:rFonts w:hAnsi="宋体"/>
          <w:szCs w:val="24"/>
        </w:rPr>
        <w:t>：</w:t>
      </w:r>
    </w:p>
    <w:p>
      <w:pPr>
        <w:pStyle w:val="13"/>
        <w:numPr>
          <w:ilvl w:val="0"/>
          <w:numId w:val="1"/>
        </w:numPr>
        <w:adjustRightInd w:val="0"/>
        <w:snapToGrid w:val="0"/>
        <w:spacing w:line="336" w:lineRule="auto"/>
        <w:ind w:firstLine="480"/>
        <w:rPr>
          <w:rFonts w:hAnsi="宋体"/>
          <w:szCs w:val="24"/>
        </w:rPr>
      </w:pPr>
      <w:r>
        <w:rPr>
          <w:rFonts w:hAnsi="宋体"/>
          <w:szCs w:val="24"/>
        </w:rPr>
        <w:t xml:space="preserve">  </w:t>
      </w:r>
      <w:r>
        <w:rPr>
          <w:rFonts w:hint="eastAsia" w:hAnsi="宋体"/>
          <w:szCs w:val="24"/>
        </w:rPr>
        <w:t>联系电话：                               联系电话：</w:t>
      </w:r>
    </w:p>
    <w:p>
      <w:pPr>
        <w:pStyle w:val="13"/>
        <w:numPr>
          <w:ilvl w:val="0"/>
          <w:numId w:val="1"/>
        </w:numPr>
        <w:adjustRightInd w:val="0"/>
        <w:snapToGrid w:val="0"/>
        <w:spacing w:line="336" w:lineRule="auto"/>
        <w:ind w:firstLine="480"/>
        <w:rPr>
          <w:rFonts w:hAnsi="宋体"/>
          <w:szCs w:val="24"/>
        </w:rPr>
      </w:pPr>
      <w:r>
        <w:rPr>
          <w:rFonts w:hAnsi="宋体"/>
          <w:szCs w:val="24"/>
        </w:rPr>
        <w:t xml:space="preserve">                   </w:t>
      </w:r>
      <w:r>
        <w:rPr>
          <w:rFonts w:hint="eastAsia" w:hAnsi="宋体"/>
          <w:szCs w:val="24"/>
        </w:rPr>
        <w:t xml:space="preserve">                     </w:t>
      </w:r>
    </w:p>
    <w:p>
      <w:pPr>
        <w:pStyle w:val="63"/>
        <w:ind w:left="420" w:right="735" w:firstLine="0" w:firstLineChars="0"/>
        <w:jc w:val="right"/>
        <w:rPr>
          <w:rFonts w:hAnsi="宋体"/>
          <w:szCs w:val="24"/>
        </w:rPr>
      </w:pPr>
      <w:r>
        <w:rPr>
          <w:rFonts w:hAnsi="宋体"/>
          <w:szCs w:val="24"/>
        </w:rPr>
        <w:t>签订日期：      年  月  日</w:t>
      </w:r>
      <w:bookmarkEnd w:id="147"/>
      <w:bookmarkEnd w:id="148"/>
      <w:bookmarkEnd w:id="149"/>
    </w:p>
    <w:p/>
    <w:p>
      <w:pPr>
        <w:pStyle w:val="2"/>
        <w:ind w:firstLine="2182" w:firstLineChars="494"/>
      </w:pPr>
      <w:bookmarkStart w:id="150" w:name="_Toc374431634"/>
      <w:r>
        <w:rPr>
          <w:rFonts w:hint="eastAsia"/>
        </w:rPr>
        <w:t xml:space="preserve">    第四章 项目需求</w:t>
      </w:r>
      <w:bookmarkEnd w:id="144"/>
      <w:bookmarkEnd w:id="145"/>
      <w:bookmarkEnd w:id="146"/>
      <w:bookmarkEnd w:id="150"/>
      <w:bookmarkStart w:id="151" w:name="_Toc120614282"/>
      <w:bookmarkStart w:id="152" w:name="_Toc26554094"/>
      <w:bookmarkStart w:id="153" w:name="_Toc49090576"/>
    </w:p>
    <w:p>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一、项目需求：</w:t>
      </w:r>
    </w:p>
    <w:p>
      <w:pPr>
        <w:jc w:val="left"/>
        <w:rPr>
          <w:rFonts w:hint="eastAsia" w:ascii="仿宋" w:hAnsi="仿宋" w:eastAsia="仿宋"/>
          <w:sz w:val="21"/>
          <w:szCs w:val="21"/>
        </w:rPr>
      </w:pPr>
      <w:r>
        <w:rPr>
          <w:rFonts w:hint="eastAsia" w:ascii="仿宋" w:hAnsi="仿宋" w:eastAsia="仿宋"/>
          <w:sz w:val="21"/>
          <w:szCs w:val="21"/>
        </w:rPr>
        <w:t>本项目服务于通信技术品牌专业“通信云服务中心”建设，主要采购通信工和信号工技能鉴定的标准规范、课程资源和仿真软件，服务通信类和轨道类学生的专业教学和技能鉴定。</w:t>
      </w:r>
    </w:p>
    <w:p>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二、具体要求：</w:t>
      </w:r>
    </w:p>
    <w:tbl>
      <w:tblPr>
        <w:tblStyle w:val="25"/>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636"/>
        <w:gridCol w:w="38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8" w:type="dxa"/>
          </w:tcPr>
          <w:p>
            <w:pPr>
              <w:jc w:val="center"/>
              <w:rPr>
                <w:rFonts w:ascii="仿宋" w:hAnsi="仿宋" w:eastAsia="仿宋"/>
                <w:b/>
                <w:sz w:val="21"/>
                <w:szCs w:val="21"/>
              </w:rPr>
            </w:pPr>
            <w:r>
              <w:rPr>
                <w:rFonts w:hint="eastAsia" w:ascii="仿宋" w:hAnsi="仿宋" w:eastAsia="仿宋"/>
                <w:b/>
                <w:sz w:val="21"/>
                <w:szCs w:val="21"/>
              </w:rPr>
              <w:t>序号</w:t>
            </w:r>
          </w:p>
        </w:tc>
        <w:tc>
          <w:tcPr>
            <w:tcW w:w="2636" w:type="dxa"/>
            <w:vAlign w:val="center"/>
          </w:tcPr>
          <w:p>
            <w:pPr>
              <w:jc w:val="center"/>
              <w:rPr>
                <w:rFonts w:ascii="仿宋" w:hAnsi="仿宋" w:eastAsia="仿宋"/>
                <w:b/>
                <w:sz w:val="21"/>
                <w:szCs w:val="21"/>
              </w:rPr>
            </w:pPr>
            <w:r>
              <w:rPr>
                <w:rFonts w:hint="eastAsia" w:ascii="仿宋" w:hAnsi="仿宋" w:eastAsia="仿宋"/>
                <w:b/>
                <w:sz w:val="21"/>
                <w:szCs w:val="21"/>
              </w:rPr>
              <w:t>采购品目明细</w:t>
            </w:r>
          </w:p>
        </w:tc>
        <w:tc>
          <w:tcPr>
            <w:tcW w:w="3886" w:type="dxa"/>
            <w:vAlign w:val="center"/>
          </w:tcPr>
          <w:p>
            <w:pPr>
              <w:jc w:val="center"/>
              <w:rPr>
                <w:rFonts w:ascii="仿宋" w:hAnsi="仿宋" w:eastAsia="仿宋"/>
                <w:b/>
                <w:sz w:val="21"/>
                <w:szCs w:val="21"/>
              </w:rPr>
            </w:pPr>
            <w:r>
              <w:rPr>
                <w:rFonts w:hint="eastAsia" w:ascii="仿宋" w:hAnsi="仿宋" w:eastAsia="仿宋"/>
                <w:b/>
                <w:sz w:val="21"/>
                <w:szCs w:val="21"/>
              </w:rPr>
              <w:t>基本规格要求</w:t>
            </w:r>
          </w:p>
        </w:tc>
        <w:tc>
          <w:tcPr>
            <w:tcW w:w="1186" w:type="dxa"/>
            <w:vAlign w:val="center"/>
          </w:tcPr>
          <w:p>
            <w:pPr>
              <w:jc w:val="center"/>
              <w:rPr>
                <w:rFonts w:ascii="仿宋" w:hAnsi="仿宋" w:eastAsia="仿宋"/>
                <w:b/>
                <w:sz w:val="21"/>
                <w:szCs w:val="21"/>
              </w:rPr>
            </w:pPr>
            <w:r>
              <w:rPr>
                <w:rFonts w:hint="eastAsia" w:ascii="仿宋" w:hAnsi="仿宋" w:eastAsia="仿宋"/>
                <w:b/>
                <w:sz w:val="21"/>
                <w:szCs w:val="21"/>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8" w:type="dxa"/>
          </w:tcPr>
          <w:p>
            <w:pPr>
              <w:jc w:val="center"/>
              <w:rPr>
                <w:rFonts w:ascii="仿宋" w:hAnsi="仿宋" w:eastAsia="仿宋"/>
                <w:sz w:val="21"/>
                <w:szCs w:val="21"/>
              </w:rPr>
            </w:pPr>
            <w:r>
              <w:rPr>
                <w:rFonts w:hint="eastAsia" w:ascii="仿宋" w:hAnsi="仿宋" w:eastAsia="仿宋"/>
                <w:sz w:val="21"/>
                <w:szCs w:val="21"/>
              </w:rPr>
              <w:t>1</w:t>
            </w:r>
          </w:p>
        </w:tc>
        <w:tc>
          <w:tcPr>
            <w:tcW w:w="2636" w:type="dxa"/>
          </w:tcPr>
          <w:p>
            <w:pPr>
              <w:jc w:val="center"/>
              <w:rPr>
                <w:rFonts w:ascii="仿宋" w:hAnsi="仿宋" w:eastAsia="仿宋"/>
                <w:sz w:val="21"/>
                <w:szCs w:val="21"/>
              </w:rPr>
            </w:pPr>
            <w:r>
              <w:rPr>
                <w:rFonts w:hint="eastAsia" w:ascii="仿宋" w:hAnsi="仿宋" w:eastAsia="仿宋"/>
                <w:sz w:val="21"/>
                <w:szCs w:val="21"/>
              </w:rPr>
              <w:t>通信工技能鉴定标准规范</w:t>
            </w:r>
          </w:p>
        </w:tc>
        <w:tc>
          <w:tcPr>
            <w:tcW w:w="3886" w:type="dxa"/>
          </w:tcPr>
          <w:p>
            <w:pPr>
              <w:rPr>
                <w:rFonts w:ascii="仿宋" w:hAnsi="仿宋" w:eastAsia="仿宋"/>
                <w:sz w:val="21"/>
                <w:szCs w:val="21"/>
              </w:rPr>
            </w:pPr>
            <w:r>
              <w:rPr>
                <w:rFonts w:hint="eastAsia" w:ascii="仿宋" w:hAnsi="仿宋" w:eastAsia="仿宋"/>
                <w:sz w:val="21"/>
                <w:szCs w:val="21"/>
              </w:rPr>
              <w:t>地铁公司认可的有轨电车和地铁通信工鉴定规范成套资料</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8" w:type="dxa"/>
          </w:tcPr>
          <w:p>
            <w:pPr>
              <w:jc w:val="center"/>
              <w:rPr>
                <w:rFonts w:ascii="仿宋" w:hAnsi="仿宋" w:eastAsia="仿宋"/>
                <w:sz w:val="21"/>
                <w:szCs w:val="21"/>
              </w:rPr>
            </w:pPr>
            <w:r>
              <w:rPr>
                <w:rFonts w:hint="eastAsia" w:ascii="仿宋" w:hAnsi="仿宋" w:eastAsia="仿宋"/>
                <w:sz w:val="21"/>
                <w:szCs w:val="21"/>
              </w:rPr>
              <w:t>2</w:t>
            </w:r>
          </w:p>
        </w:tc>
        <w:tc>
          <w:tcPr>
            <w:tcW w:w="2636" w:type="dxa"/>
          </w:tcPr>
          <w:p>
            <w:pPr>
              <w:jc w:val="center"/>
              <w:rPr>
                <w:rFonts w:ascii="仿宋" w:hAnsi="仿宋" w:eastAsia="仿宋"/>
                <w:sz w:val="21"/>
                <w:szCs w:val="21"/>
              </w:rPr>
            </w:pPr>
            <w:r>
              <w:rPr>
                <w:rFonts w:hint="eastAsia" w:ascii="仿宋" w:hAnsi="仿宋" w:eastAsia="仿宋"/>
                <w:sz w:val="21"/>
                <w:szCs w:val="21"/>
              </w:rPr>
              <w:t>通信工技能鉴定教材</w:t>
            </w:r>
          </w:p>
        </w:tc>
        <w:tc>
          <w:tcPr>
            <w:tcW w:w="3886" w:type="dxa"/>
          </w:tcPr>
          <w:p>
            <w:pPr>
              <w:jc w:val="center"/>
              <w:rPr>
                <w:rFonts w:ascii="仿宋" w:hAnsi="仿宋" w:eastAsia="仿宋"/>
                <w:sz w:val="21"/>
                <w:szCs w:val="21"/>
              </w:rPr>
            </w:pPr>
            <w:r>
              <w:rPr>
                <w:rFonts w:hint="eastAsia" w:ascii="仿宋" w:hAnsi="仿宋" w:eastAsia="仿宋"/>
                <w:sz w:val="21"/>
                <w:szCs w:val="21"/>
              </w:rPr>
              <w:t>教材40本，包含理论和实训指导手册</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678" w:type="dxa"/>
          </w:tcPr>
          <w:p>
            <w:pPr>
              <w:jc w:val="center"/>
              <w:rPr>
                <w:rFonts w:ascii="仿宋" w:hAnsi="仿宋" w:eastAsia="仿宋"/>
                <w:sz w:val="21"/>
                <w:szCs w:val="21"/>
              </w:rPr>
            </w:pPr>
            <w:r>
              <w:rPr>
                <w:rFonts w:hint="eastAsia" w:ascii="仿宋" w:hAnsi="仿宋" w:eastAsia="仿宋"/>
                <w:sz w:val="21"/>
                <w:szCs w:val="21"/>
              </w:rPr>
              <w:t>3</w:t>
            </w:r>
          </w:p>
        </w:tc>
        <w:tc>
          <w:tcPr>
            <w:tcW w:w="2636" w:type="dxa"/>
          </w:tcPr>
          <w:p>
            <w:pPr>
              <w:jc w:val="center"/>
              <w:rPr>
                <w:rFonts w:ascii="仿宋" w:hAnsi="仿宋" w:eastAsia="仿宋"/>
                <w:sz w:val="21"/>
                <w:szCs w:val="21"/>
              </w:rPr>
            </w:pPr>
            <w:r>
              <w:rPr>
                <w:rFonts w:hint="eastAsia" w:ascii="仿宋" w:hAnsi="仿宋" w:eastAsia="仿宋"/>
                <w:sz w:val="21"/>
                <w:szCs w:val="21"/>
              </w:rPr>
              <w:t>通信工技能鉴定课程资源</w:t>
            </w:r>
          </w:p>
        </w:tc>
        <w:tc>
          <w:tcPr>
            <w:tcW w:w="3886" w:type="dxa"/>
          </w:tcPr>
          <w:p>
            <w:pPr>
              <w:jc w:val="center"/>
              <w:rPr>
                <w:rFonts w:ascii="仿宋" w:hAnsi="仿宋" w:eastAsia="仿宋"/>
                <w:sz w:val="21"/>
                <w:szCs w:val="21"/>
              </w:rPr>
            </w:pPr>
            <w:r>
              <w:rPr>
                <w:rFonts w:hint="eastAsia" w:ascii="仿宋" w:hAnsi="仿宋" w:eastAsia="仿宋"/>
                <w:sz w:val="21"/>
                <w:szCs w:val="21"/>
              </w:rPr>
              <w:t>包含通信基础知识、地铁通信十二个子系统、故障处理（应急处置）内容，能较好地体现当前地铁通信检修工岗位的岗位要求和工作内容，实现培训教育与岗位技能的有效对接。PPT制作精美，包含图片、动画、视频等资源，满足教学需求</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8" w:type="dxa"/>
          </w:tcPr>
          <w:p>
            <w:pPr>
              <w:jc w:val="center"/>
              <w:rPr>
                <w:rFonts w:ascii="仿宋" w:hAnsi="仿宋" w:eastAsia="仿宋"/>
                <w:sz w:val="21"/>
                <w:szCs w:val="21"/>
              </w:rPr>
            </w:pPr>
            <w:r>
              <w:rPr>
                <w:rFonts w:hint="eastAsia" w:ascii="仿宋" w:hAnsi="仿宋" w:eastAsia="仿宋"/>
                <w:sz w:val="21"/>
                <w:szCs w:val="21"/>
              </w:rPr>
              <w:t>4</w:t>
            </w:r>
          </w:p>
        </w:tc>
        <w:tc>
          <w:tcPr>
            <w:tcW w:w="2636" w:type="dxa"/>
          </w:tcPr>
          <w:p>
            <w:pPr>
              <w:jc w:val="center"/>
              <w:rPr>
                <w:rFonts w:ascii="仿宋" w:hAnsi="仿宋" w:eastAsia="仿宋"/>
                <w:sz w:val="21"/>
                <w:szCs w:val="21"/>
              </w:rPr>
            </w:pPr>
            <w:r>
              <w:rPr>
                <w:rFonts w:hint="eastAsia" w:ascii="仿宋" w:hAnsi="仿宋" w:eastAsia="仿宋"/>
                <w:sz w:val="21"/>
                <w:szCs w:val="21"/>
              </w:rPr>
              <w:t>通信工技能鉴定试题库</w:t>
            </w:r>
          </w:p>
        </w:tc>
        <w:tc>
          <w:tcPr>
            <w:tcW w:w="3886" w:type="dxa"/>
          </w:tcPr>
          <w:p>
            <w:pPr>
              <w:jc w:val="center"/>
              <w:rPr>
                <w:rFonts w:ascii="仿宋" w:hAnsi="仿宋" w:eastAsia="仿宋"/>
                <w:sz w:val="21"/>
                <w:szCs w:val="21"/>
              </w:rPr>
            </w:pPr>
            <w:r>
              <w:rPr>
                <w:rFonts w:hint="eastAsia" w:ascii="仿宋" w:hAnsi="仿宋" w:eastAsia="仿宋"/>
                <w:sz w:val="21"/>
                <w:szCs w:val="21"/>
              </w:rPr>
              <w:t>题型与地铁技能鉴定题库相似，提供不少于500道题目。</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8" w:type="dxa"/>
          </w:tcPr>
          <w:p>
            <w:pPr>
              <w:jc w:val="center"/>
              <w:rPr>
                <w:rFonts w:ascii="仿宋" w:hAnsi="仿宋" w:eastAsia="仿宋"/>
                <w:sz w:val="21"/>
                <w:szCs w:val="21"/>
              </w:rPr>
            </w:pPr>
            <w:r>
              <w:rPr>
                <w:rFonts w:hint="eastAsia" w:ascii="仿宋" w:hAnsi="仿宋" w:eastAsia="仿宋"/>
                <w:sz w:val="21"/>
                <w:szCs w:val="21"/>
              </w:rPr>
              <w:t>5</w:t>
            </w:r>
          </w:p>
        </w:tc>
        <w:tc>
          <w:tcPr>
            <w:tcW w:w="2636" w:type="dxa"/>
          </w:tcPr>
          <w:p>
            <w:pPr>
              <w:jc w:val="center"/>
              <w:rPr>
                <w:rFonts w:ascii="仿宋" w:hAnsi="仿宋" w:eastAsia="仿宋"/>
                <w:sz w:val="21"/>
                <w:szCs w:val="21"/>
              </w:rPr>
            </w:pPr>
            <w:r>
              <w:rPr>
                <w:rFonts w:hint="eastAsia" w:ascii="仿宋" w:hAnsi="仿宋" w:eastAsia="仿宋"/>
                <w:sz w:val="21"/>
                <w:szCs w:val="21"/>
              </w:rPr>
              <w:t>信号工技能鉴定标准规范</w:t>
            </w:r>
          </w:p>
        </w:tc>
        <w:tc>
          <w:tcPr>
            <w:tcW w:w="3886" w:type="dxa"/>
          </w:tcPr>
          <w:p>
            <w:pPr>
              <w:rPr>
                <w:rFonts w:ascii="仿宋" w:hAnsi="仿宋" w:eastAsia="仿宋"/>
                <w:sz w:val="21"/>
                <w:szCs w:val="21"/>
              </w:rPr>
            </w:pPr>
            <w:r>
              <w:rPr>
                <w:rFonts w:hint="eastAsia" w:ascii="仿宋" w:hAnsi="仿宋" w:eastAsia="仿宋"/>
                <w:sz w:val="21"/>
                <w:szCs w:val="21"/>
              </w:rPr>
              <w:t>地铁公司认可的有轨电车和地铁信号工鉴定规范成套资料</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8" w:type="dxa"/>
          </w:tcPr>
          <w:p>
            <w:pPr>
              <w:jc w:val="center"/>
              <w:rPr>
                <w:rFonts w:ascii="仿宋" w:hAnsi="仿宋" w:eastAsia="仿宋"/>
                <w:sz w:val="21"/>
                <w:szCs w:val="21"/>
              </w:rPr>
            </w:pPr>
            <w:r>
              <w:rPr>
                <w:rFonts w:hint="eastAsia" w:ascii="仿宋" w:hAnsi="仿宋" w:eastAsia="仿宋"/>
                <w:sz w:val="21"/>
                <w:szCs w:val="21"/>
              </w:rPr>
              <w:t>6</w:t>
            </w:r>
          </w:p>
        </w:tc>
        <w:tc>
          <w:tcPr>
            <w:tcW w:w="2636" w:type="dxa"/>
          </w:tcPr>
          <w:p>
            <w:pPr>
              <w:jc w:val="center"/>
              <w:rPr>
                <w:rFonts w:ascii="仿宋" w:hAnsi="仿宋" w:eastAsia="仿宋"/>
                <w:sz w:val="21"/>
                <w:szCs w:val="21"/>
              </w:rPr>
            </w:pPr>
            <w:r>
              <w:rPr>
                <w:rFonts w:hint="eastAsia" w:ascii="仿宋" w:hAnsi="仿宋" w:eastAsia="仿宋"/>
                <w:sz w:val="21"/>
                <w:szCs w:val="21"/>
              </w:rPr>
              <w:t>信号工技能鉴定教材</w:t>
            </w:r>
          </w:p>
        </w:tc>
        <w:tc>
          <w:tcPr>
            <w:tcW w:w="3886" w:type="dxa"/>
          </w:tcPr>
          <w:p>
            <w:pPr>
              <w:jc w:val="center"/>
              <w:rPr>
                <w:rFonts w:ascii="仿宋" w:hAnsi="仿宋" w:eastAsia="仿宋"/>
                <w:sz w:val="21"/>
                <w:szCs w:val="21"/>
              </w:rPr>
            </w:pPr>
            <w:r>
              <w:rPr>
                <w:rFonts w:hint="eastAsia" w:ascii="仿宋" w:hAnsi="仿宋" w:eastAsia="仿宋"/>
                <w:sz w:val="21"/>
                <w:szCs w:val="21"/>
              </w:rPr>
              <w:t>教材40本，包含理论和实训指导手册</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678" w:type="dxa"/>
          </w:tcPr>
          <w:p>
            <w:pPr>
              <w:jc w:val="center"/>
              <w:rPr>
                <w:rFonts w:ascii="仿宋" w:hAnsi="仿宋" w:eastAsia="仿宋"/>
                <w:sz w:val="21"/>
                <w:szCs w:val="21"/>
              </w:rPr>
            </w:pPr>
            <w:r>
              <w:rPr>
                <w:rFonts w:hint="eastAsia" w:ascii="仿宋" w:hAnsi="仿宋" w:eastAsia="仿宋"/>
                <w:sz w:val="21"/>
                <w:szCs w:val="21"/>
              </w:rPr>
              <w:t>7</w:t>
            </w:r>
          </w:p>
        </w:tc>
        <w:tc>
          <w:tcPr>
            <w:tcW w:w="2636" w:type="dxa"/>
          </w:tcPr>
          <w:p>
            <w:pPr>
              <w:jc w:val="center"/>
              <w:rPr>
                <w:rFonts w:ascii="仿宋" w:hAnsi="仿宋" w:eastAsia="仿宋"/>
                <w:sz w:val="21"/>
                <w:szCs w:val="21"/>
              </w:rPr>
            </w:pPr>
            <w:r>
              <w:rPr>
                <w:rFonts w:hint="eastAsia" w:ascii="仿宋" w:hAnsi="仿宋" w:eastAsia="仿宋"/>
                <w:sz w:val="21"/>
                <w:szCs w:val="21"/>
              </w:rPr>
              <w:t>信号工技能鉴定课程资源</w:t>
            </w:r>
          </w:p>
        </w:tc>
        <w:tc>
          <w:tcPr>
            <w:tcW w:w="3886" w:type="dxa"/>
          </w:tcPr>
          <w:p>
            <w:pPr>
              <w:jc w:val="center"/>
              <w:rPr>
                <w:rFonts w:ascii="仿宋" w:hAnsi="仿宋" w:eastAsia="仿宋"/>
                <w:sz w:val="21"/>
                <w:szCs w:val="21"/>
              </w:rPr>
            </w:pPr>
            <w:r>
              <w:rPr>
                <w:rFonts w:hint="eastAsia" w:ascii="仿宋" w:hAnsi="仿宋" w:eastAsia="仿宋"/>
                <w:sz w:val="21"/>
                <w:szCs w:val="21"/>
              </w:rPr>
              <w:t>满足信号工岗位要求，包含信号常用仪表、铁路运输组织及基础设备、铁路信号基础知识、色灯信号机、道岔转换与锁闭设备、站内轨道电路、安全型继电器、信号电源、信号设备综合防雷与接地内容。</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78" w:type="dxa"/>
          </w:tcPr>
          <w:p>
            <w:pPr>
              <w:jc w:val="center"/>
              <w:rPr>
                <w:rFonts w:ascii="仿宋" w:hAnsi="仿宋" w:eastAsia="仿宋"/>
                <w:sz w:val="21"/>
                <w:szCs w:val="21"/>
              </w:rPr>
            </w:pPr>
            <w:r>
              <w:rPr>
                <w:rFonts w:hint="eastAsia" w:ascii="仿宋" w:hAnsi="仿宋" w:eastAsia="仿宋"/>
                <w:sz w:val="21"/>
                <w:szCs w:val="21"/>
              </w:rPr>
              <w:t>8</w:t>
            </w:r>
          </w:p>
        </w:tc>
        <w:tc>
          <w:tcPr>
            <w:tcW w:w="2636" w:type="dxa"/>
          </w:tcPr>
          <w:p>
            <w:pPr>
              <w:jc w:val="center"/>
              <w:rPr>
                <w:rFonts w:ascii="仿宋" w:hAnsi="仿宋" w:eastAsia="仿宋"/>
                <w:sz w:val="21"/>
                <w:szCs w:val="21"/>
              </w:rPr>
            </w:pPr>
            <w:r>
              <w:rPr>
                <w:rFonts w:hint="eastAsia" w:ascii="仿宋" w:hAnsi="仿宋" w:eastAsia="仿宋"/>
                <w:sz w:val="21"/>
                <w:szCs w:val="21"/>
              </w:rPr>
              <w:t>信号工技能鉴定试题库</w:t>
            </w:r>
          </w:p>
        </w:tc>
        <w:tc>
          <w:tcPr>
            <w:tcW w:w="3886" w:type="dxa"/>
          </w:tcPr>
          <w:p>
            <w:pPr>
              <w:jc w:val="center"/>
              <w:rPr>
                <w:rFonts w:ascii="仿宋" w:hAnsi="仿宋" w:eastAsia="仿宋"/>
                <w:sz w:val="21"/>
                <w:szCs w:val="21"/>
              </w:rPr>
            </w:pPr>
            <w:r>
              <w:rPr>
                <w:rFonts w:hint="eastAsia" w:ascii="仿宋" w:hAnsi="仿宋" w:eastAsia="仿宋"/>
                <w:sz w:val="21"/>
                <w:szCs w:val="21"/>
              </w:rPr>
              <w:t>题型与地铁技能鉴定题库相似，提供不少于500道题目。</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78" w:type="dxa"/>
          </w:tcPr>
          <w:p>
            <w:pPr>
              <w:jc w:val="center"/>
              <w:rPr>
                <w:rFonts w:ascii="仿宋" w:hAnsi="仿宋" w:eastAsia="仿宋"/>
                <w:sz w:val="21"/>
                <w:szCs w:val="21"/>
              </w:rPr>
            </w:pPr>
            <w:r>
              <w:rPr>
                <w:rFonts w:hint="eastAsia" w:ascii="仿宋" w:hAnsi="仿宋" w:eastAsia="仿宋"/>
                <w:sz w:val="21"/>
                <w:szCs w:val="21"/>
              </w:rPr>
              <w:t>9</w:t>
            </w:r>
          </w:p>
        </w:tc>
        <w:tc>
          <w:tcPr>
            <w:tcW w:w="2636" w:type="dxa"/>
          </w:tcPr>
          <w:p>
            <w:pPr>
              <w:jc w:val="center"/>
              <w:rPr>
                <w:rFonts w:ascii="仿宋" w:hAnsi="仿宋" w:eastAsia="仿宋"/>
                <w:sz w:val="21"/>
                <w:szCs w:val="21"/>
              </w:rPr>
            </w:pPr>
            <w:r>
              <w:rPr>
                <w:rFonts w:hint="eastAsia" w:ascii="仿宋" w:hAnsi="仿宋" w:eastAsia="仿宋"/>
                <w:sz w:val="21"/>
                <w:szCs w:val="21"/>
              </w:rPr>
              <w:t>信号工仿真培训软件</w:t>
            </w:r>
          </w:p>
        </w:tc>
        <w:tc>
          <w:tcPr>
            <w:tcW w:w="3886" w:type="dxa"/>
          </w:tcPr>
          <w:p>
            <w:pPr>
              <w:jc w:val="left"/>
              <w:rPr>
                <w:rFonts w:ascii="仿宋" w:hAnsi="仿宋" w:eastAsia="仿宋"/>
                <w:sz w:val="21"/>
                <w:szCs w:val="21"/>
              </w:rPr>
            </w:pPr>
            <w:r>
              <w:rPr>
                <w:rFonts w:hint="eastAsia" w:ascii="仿宋" w:hAnsi="仿宋" w:eastAsia="仿宋"/>
                <w:sz w:val="21"/>
                <w:szCs w:val="21"/>
              </w:rPr>
              <w:t>能仿真区段、道岔、信号机、信标、接近盘、屏蔽门、站台紧急关闭按钮（PESB）、发车表示器的功能；要求以实际运行线路为基础，配置全线路设备（线路）清单如下：进路80个、区域6个、道岔40个、信号机180个、站台80个、站台门50个、紧急停车按钮50个、车站40个、发车表示器</w:t>
            </w:r>
            <w:r>
              <w:rPr>
                <w:rFonts w:hint="eastAsia" w:ascii="仿宋" w:hAnsi="仿宋" w:eastAsia="仿宋"/>
                <w:sz w:val="21"/>
                <w:szCs w:val="21"/>
              </w:rPr>
              <w:tab/>
            </w:r>
            <w:r>
              <w:rPr>
                <w:rFonts w:hint="eastAsia" w:ascii="仿宋" w:hAnsi="仿宋" w:eastAsia="仿宋"/>
                <w:sz w:val="21"/>
                <w:szCs w:val="21"/>
              </w:rPr>
              <w:t>100个、信标1000个、计轴180个。</w:t>
            </w:r>
          </w:p>
        </w:tc>
        <w:tc>
          <w:tcPr>
            <w:tcW w:w="1186" w:type="dxa"/>
          </w:tcPr>
          <w:p>
            <w:pPr>
              <w:jc w:val="center"/>
              <w:rPr>
                <w:rFonts w:ascii="仿宋" w:hAnsi="仿宋" w:eastAsia="仿宋"/>
                <w:sz w:val="21"/>
                <w:szCs w:val="21"/>
              </w:rPr>
            </w:pPr>
            <w:r>
              <w:rPr>
                <w:rFonts w:hint="eastAsia" w:ascii="仿宋" w:hAnsi="仿宋" w:eastAsia="仿宋"/>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78" w:type="dxa"/>
          </w:tcPr>
          <w:p>
            <w:pPr>
              <w:jc w:val="center"/>
              <w:rPr>
                <w:rFonts w:ascii="仿宋" w:hAnsi="仿宋" w:eastAsia="仿宋"/>
                <w:sz w:val="21"/>
                <w:szCs w:val="21"/>
              </w:rPr>
            </w:pPr>
            <w:r>
              <w:rPr>
                <w:rFonts w:hint="eastAsia" w:ascii="仿宋" w:hAnsi="仿宋" w:eastAsia="仿宋"/>
                <w:sz w:val="21"/>
                <w:szCs w:val="21"/>
              </w:rPr>
              <w:t>10</w:t>
            </w:r>
          </w:p>
        </w:tc>
        <w:tc>
          <w:tcPr>
            <w:tcW w:w="2636" w:type="dxa"/>
          </w:tcPr>
          <w:p>
            <w:pPr>
              <w:jc w:val="center"/>
              <w:rPr>
                <w:rFonts w:ascii="仿宋" w:hAnsi="仿宋" w:eastAsia="仿宋"/>
                <w:sz w:val="21"/>
                <w:szCs w:val="21"/>
              </w:rPr>
            </w:pPr>
            <w:r>
              <w:rPr>
                <w:rFonts w:hint="eastAsia" w:ascii="仿宋" w:hAnsi="仿宋" w:eastAsia="仿宋"/>
                <w:sz w:val="21"/>
                <w:szCs w:val="21"/>
              </w:rPr>
              <w:t>通信工/信号工技能鉴定教师培训服务</w:t>
            </w:r>
          </w:p>
        </w:tc>
        <w:tc>
          <w:tcPr>
            <w:tcW w:w="3886" w:type="dxa"/>
          </w:tcPr>
          <w:p>
            <w:pPr>
              <w:jc w:val="center"/>
              <w:rPr>
                <w:rFonts w:ascii="仿宋" w:hAnsi="仿宋" w:eastAsia="仿宋"/>
                <w:sz w:val="21"/>
                <w:szCs w:val="21"/>
              </w:rPr>
            </w:pPr>
            <w:r>
              <w:rPr>
                <w:rFonts w:hint="eastAsia" w:ascii="仿宋" w:hAnsi="仿宋" w:eastAsia="仿宋"/>
                <w:sz w:val="21"/>
                <w:szCs w:val="21"/>
              </w:rPr>
              <w:t>提供不少于40学时的信号工技能培训</w:t>
            </w:r>
          </w:p>
        </w:tc>
        <w:tc>
          <w:tcPr>
            <w:tcW w:w="1186" w:type="dxa"/>
          </w:tcPr>
          <w:p>
            <w:pPr>
              <w:jc w:val="center"/>
              <w:rPr>
                <w:rFonts w:ascii="仿宋" w:hAnsi="仿宋" w:eastAsia="仿宋"/>
                <w:sz w:val="21"/>
                <w:szCs w:val="21"/>
              </w:rPr>
            </w:pPr>
            <w:r>
              <w:rPr>
                <w:rFonts w:hint="eastAsia" w:ascii="仿宋" w:hAnsi="仿宋" w:eastAsia="仿宋"/>
                <w:sz w:val="21"/>
                <w:szCs w:val="21"/>
              </w:rPr>
              <w:t>1套</w:t>
            </w:r>
          </w:p>
        </w:tc>
      </w:tr>
    </w:tbl>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三、供货周期：</w:t>
      </w:r>
      <w:r>
        <w:rPr>
          <w:rFonts w:hint="eastAsia" w:ascii="仿宋" w:hAnsi="仿宋" w:eastAsia="仿宋"/>
          <w:sz w:val="24"/>
          <w:szCs w:val="24"/>
        </w:rPr>
        <w:t>合同签订后30天内交付甲方验收通过。</w:t>
      </w:r>
    </w:p>
    <w:p>
      <w:pPr>
        <w:spacing w:line="360" w:lineRule="auto"/>
        <w:rPr>
          <w:rFonts w:hint="eastAsia" w:eastAsia="仿宋" w:cs="宋体" w:asciiTheme="minorEastAsia" w:hAnsiTheme="minorEastAsia"/>
          <w:sz w:val="24"/>
          <w:szCs w:val="24"/>
          <w:lang w:eastAsia="zh-CN"/>
        </w:rPr>
      </w:pPr>
      <w:r>
        <w:rPr>
          <w:rFonts w:hint="eastAsia" w:cs="宋体" w:asciiTheme="minorEastAsia" w:hAnsiTheme="minorEastAsia" w:eastAsiaTheme="minorEastAsia"/>
          <w:sz w:val="24"/>
          <w:szCs w:val="24"/>
        </w:rPr>
        <w:t>四、质保期：</w:t>
      </w:r>
      <w:r>
        <w:rPr>
          <w:rFonts w:hint="eastAsia" w:ascii="仿宋" w:hAnsi="仿宋" w:eastAsia="仿宋"/>
          <w:sz w:val="24"/>
          <w:szCs w:val="24"/>
        </w:rPr>
        <w:t>3年软件和课程资源免费更新升级</w:t>
      </w:r>
      <w:r>
        <w:rPr>
          <w:rFonts w:hint="eastAsia" w:ascii="仿宋" w:hAnsi="仿宋" w:eastAsia="仿宋"/>
          <w:sz w:val="24"/>
          <w:szCs w:val="24"/>
          <w:lang w:eastAsia="zh-CN"/>
        </w:rPr>
        <w:t>。</w:t>
      </w:r>
    </w:p>
    <w:p>
      <w:pPr>
        <w:snapToGrid w:val="0"/>
        <w:spacing w:line="360" w:lineRule="auto"/>
        <w:rPr>
          <w:rFonts w:hint="eastAsia" w:ascii="仿宋" w:hAnsi="仿宋" w:eastAsia="仿宋"/>
          <w:sz w:val="24"/>
          <w:szCs w:val="24"/>
          <w:lang w:eastAsia="zh-CN"/>
        </w:rPr>
      </w:pPr>
      <w:r>
        <w:rPr>
          <w:rFonts w:hint="eastAsia" w:cs="宋体" w:asciiTheme="minorEastAsia" w:hAnsiTheme="minorEastAsia" w:eastAsiaTheme="minorEastAsia"/>
          <w:sz w:val="24"/>
          <w:szCs w:val="24"/>
        </w:rPr>
        <w:t>五、培训周期：</w:t>
      </w:r>
      <w:r>
        <w:rPr>
          <w:rFonts w:hint="eastAsia" w:ascii="仿宋" w:hAnsi="仿宋" w:eastAsia="仿宋"/>
          <w:sz w:val="24"/>
          <w:szCs w:val="24"/>
        </w:rPr>
        <w:t>提供不少于40学时的培训服务</w:t>
      </w:r>
      <w:r>
        <w:rPr>
          <w:rFonts w:hint="eastAsia" w:ascii="仿宋" w:hAnsi="仿宋" w:eastAsia="仿宋"/>
          <w:sz w:val="24"/>
          <w:szCs w:val="24"/>
          <w:lang w:eastAsia="zh-CN"/>
        </w:rPr>
        <w:t>。</w:t>
      </w:r>
    </w:p>
    <w:p>
      <w:pPr>
        <w:snapToGrid w:val="0"/>
        <w:spacing w:line="360" w:lineRule="auto"/>
        <w:rPr>
          <w:rFonts w:hint="eastAsia" w:eastAsia="宋体"/>
          <w:b/>
          <w:bCs/>
          <w:i/>
          <w:iCs/>
          <w:sz w:val="24"/>
          <w:szCs w:val="24"/>
          <w:u w:val="single"/>
          <w:lang w:eastAsia="zh-CN"/>
        </w:rPr>
      </w:pPr>
      <w:r>
        <w:rPr>
          <w:rFonts w:hint="eastAsia" w:ascii="仿宋" w:hAnsi="仿宋" w:eastAsia="仿宋"/>
          <w:sz w:val="24"/>
          <w:szCs w:val="24"/>
          <w:lang w:eastAsia="zh-CN"/>
        </w:rPr>
        <w:t>六、</w:t>
      </w:r>
      <w:r>
        <w:rPr>
          <w:rFonts w:hint="eastAsia"/>
          <w:b/>
          <w:bCs/>
          <w:i/>
          <w:iCs/>
          <w:sz w:val="24"/>
          <w:szCs w:val="24"/>
          <w:u w:val="single"/>
        </w:rPr>
        <w:t>参加本次采购的供应商提供软件和课程资源的</w:t>
      </w:r>
      <w:r>
        <w:rPr>
          <w:rFonts w:hint="eastAsia"/>
          <w:b/>
          <w:bCs/>
          <w:i/>
          <w:iCs/>
          <w:sz w:val="24"/>
          <w:szCs w:val="24"/>
          <w:u w:val="single"/>
          <w:lang w:eastAsia="zh-CN"/>
        </w:rPr>
        <w:t>自主版权声明，保证提交给甲方的作品无版权纠纷。</w:t>
      </w:r>
    </w:p>
    <w:p>
      <w:pPr>
        <w:snapToGrid w:val="0"/>
        <w:spacing w:line="360" w:lineRule="auto"/>
        <w:rPr>
          <w:rFonts w:hint="eastAsia" w:ascii="仿宋" w:hAnsi="仿宋" w:eastAsia="仿宋"/>
          <w:b/>
          <w:bCs/>
          <w:sz w:val="24"/>
          <w:szCs w:val="24"/>
          <w:lang w:eastAsia="zh-CN"/>
        </w:rPr>
      </w:pPr>
    </w:p>
    <w:p>
      <w:pPr>
        <w:pStyle w:val="2"/>
      </w:pPr>
      <w:r>
        <w:rPr>
          <w:rFonts w:hint="eastAsia"/>
        </w:rPr>
        <w:t xml:space="preserve">          </w:t>
      </w:r>
      <w:bookmarkStart w:id="154" w:name="_Toc374431642"/>
      <w:bookmarkStart w:id="155" w:name="_Toc311047795"/>
      <w:bookmarkStart w:id="156" w:name="_Toc311046299"/>
      <w:r>
        <w:rPr>
          <w:rFonts w:hint="eastAsia"/>
        </w:rPr>
        <w:t>第五章  谈判响应文件格式</w:t>
      </w:r>
      <w:bookmarkEnd w:id="154"/>
      <w:bookmarkEnd w:id="155"/>
      <w:bookmarkEnd w:id="156"/>
      <w:bookmarkStart w:id="157" w:name="_Hlt26955039"/>
      <w:bookmarkEnd w:id="157"/>
      <w:bookmarkStart w:id="158" w:name="_Hlt26671244"/>
      <w:bookmarkEnd w:id="158"/>
    </w:p>
    <w:p>
      <w:pPr>
        <w:pStyle w:val="54"/>
        <w:ind w:firstLine="560"/>
      </w:pPr>
    </w:p>
    <w:p>
      <w:pPr>
        <w:pStyle w:val="61"/>
        <w:jc w:val="center"/>
        <w:rPr>
          <w:b/>
          <w:sz w:val="48"/>
          <w:szCs w:val="48"/>
        </w:rPr>
      </w:pPr>
      <w:r>
        <w:rPr>
          <w:rFonts w:hint="eastAsia"/>
          <w:b/>
          <w:sz w:val="48"/>
          <w:szCs w:val="48"/>
        </w:rPr>
        <w:t>谈判响应文件</w:t>
      </w:r>
    </w:p>
    <w:p>
      <w:pPr>
        <w:pStyle w:val="61"/>
        <w:rPr>
          <w:b/>
          <w:sz w:val="28"/>
          <w:szCs w:val="28"/>
        </w:rPr>
      </w:pPr>
    </w:p>
    <w:p>
      <w:pPr>
        <w:pStyle w:val="61"/>
        <w:rPr>
          <w:b/>
          <w:sz w:val="28"/>
          <w:szCs w:val="28"/>
        </w:rPr>
      </w:pPr>
    </w:p>
    <w:p>
      <w:pPr>
        <w:pStyle w:val="61"/>
        <w:rPr>
          <w:b/>
          <w:sz w:val="28"/>
          <w:szCs w:val="28"/>
        </w:rPr>
      </w:pPr>
    </w:p>
    <w:p>
      <w:pPr>
        <w:pStyle w:val="54"/>
        <w:ind w:firstLine="560"/>
      </w:pPr>
    </w:p>
    <w:p>
      <w:pPr>
        <w:pStyle w:val="54"/>
        <w:ind w:firstLine="560"/>
      </w:pPr>
      <w:r>
        <w:rPr>
          <w:rFonts w:hint="eastAsia"/>
        </w:rPr>
        <w:t xml:space="preserve">项 目 名 称：               </w:t>
      </w:r>
    </w:p>
    <w:p>
      <w:pPr>
        <w:pStyle w:val="54"/>
        <w:ind w:firstLine="560"/>
      </w:pPr>
      <w:r>
        <w:rPr>
          <w:rFonts w:hint="eastAsia"/>
        </w:rPr>
        <w:t xml:space="preserve">项 目 编 号：               </w:t>
      </w: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rPr>
          <w:b/>
          <w:szCs w:val="44"/>
        </w:rPr>
      </w:pPr>
      <w:r>
        <w:rPr>
          <w:rFonts w:hint="eastAsia"/>
        </w:rPr>
        <w:t xml:space="preserve">                             </w:t>
      </w:r>
      <w:r>
        <w:rPr>
          <w:rFonts w:hint="eastAsia"/>
          <w:b/>
          <w:szCs w:val="44"/>
        </w:rPr>
        <w:t xml:space="preserve">供应商名称 ：               </w:t>
      </w:r>
    </w:p>
    <w:p>
      <w:pPr>
        <w:pStyle w:val="54"/>
        <w:ind w:firstLine="560"/>
        <w:rPr>
          <w:b/>
        </w:rPr>
      </w:pPr>
      <w:r>
        <w:rPr>
          <w:rFonts w:hint="eastAsia"/>
        </w:rPr>
        <w:t xml:space="preserve">                             </w:t>
      </w:r>
      <w:r>
        <w:rPr>
          <w:rFonts w:hint="eastAsia"/>
          <w:b/>
        </w:rPr>
        <w:t xml:space="preserve">日      期 ：               </w:t>
      </w:r>
    </w:p>
    <w:p>
      <w:pPr>
        <w:pStyle w:val="54"/>
        <w:ind w:firstLine="560"/>
      </w:pPr>
    </w:p>
    <w:p>
      <w:pPr>
        <w:pStyle w:val="54"/>
        <w:ind w:firstLine="562"/>
        <w:jc w:val="center"/>
        <w:rPr>
          <w:b/>
        </w:rPr>
      </w:pPr>
    </w:p>
    <w:p>
      <w:pPr>
        <w:pStyle w:val="54"/>
        <w:ind w:firstLine="562"/>
        <w:jc w:val="center"/>
        <w:rPr>
          <w:b/>
        </w:rPr>
      </w:pPr>
    </w:p>
    <w:p>
      <w:pPr>
        <w:pStyle w:val="54"/>
        <w:ind w:firstLine="562"/>
        <w:jc w:val="center"/>
        <w:rPr>
          <w:b/>
        </w:rPr>
      </w:pPr>
    </w:p>
    <w:p>
      <w:pPr>
        <w:pStyle w:val="54"/>
        <w:ind w:firstLine="562"/>
        <w:jc w:val="center"/>
        <w:rPr>
          <w:b/>
        </w:rPr>
      </w:pPr>
    </w:p>
    <w:p>
      <w:pPr>
        <w:pStyle w:val="54"/>
        <w:ind w:firstLine="562"/>
        <w:jc w:val="center"/>
        <w:rPr>
          <w:b/>
        </w:rPr>
      </w:pPr>
    </w:p>
    <w:p>
      <w:pPr>
        <w:pStyle w:val="54"/>
        <w:ind w:firstLine="562"/>
        <w:jc w:val="center"/>
        <w:rPr>
          <w:b/>
        </w:rPr>
      </w:pPr>
    </w:p>
    <w:p>
      <w:pPr>
        <w:pStyle w:val="54"/>
        <w:ind w:firstLine="562"/>
        <w:jc w:val="center"/>
        <w:rPr>
          <w:b/>
        </w:rPr>
      </w:pPr>
      <w:r>
        <w:rPr>
          <w:rFonts w:hint="eastAsia"/>
          <w:b/>
        </w:rPr>
        <w:t>主要文件目录</w:t>
      </w:r>
    </w:p>
    <w:p>
      <w:pPr>
        <w:pStyle w:val="54"/>
        <w:ind w:firstLine="560"/>
      </w:pPr>
    </w:p>
    <w:p>
      <w:pPr>
        <w:pStyle w:val="17"/>
        <w:tabs>
          <w:tab w:val="right" w:leader="dot" w:pos="8942"/>
        </w:tabs>
        <w:rPr>
          <w:sz w:val="28"/>
          <w:szCs w:val="28"/>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"_Toc311047796" </w:instrText>
      </w:r>
      <w:r>
        <w:fldChar w:fldCharType="separate"/>
      </w:r>
      <w:r>
        <w:rPr>
          <w:rStyle w:val="24"/>
          <w:rFonts w:hint="eastAsia"/>
          <w:color w:val="auto"/>
          <w:sz w:val="28"/>
          <w:szCs w:val="28"/>
        </w:rPr>
        <w:t>一、资信证明文件要求</w:t>
      </w:r>
      <w:r>
        <w:rPr>
          <w:rStyle w:val="24"/>
          <w:rFonts w:hint="eastAsia"/>
          <w:color w:val="auto"/>
          <w:sz w:val="28"/>
          <w:szCs w:val="28"/>
        </w:rPr>
        <w:fldChar w:fldCharType="end"/>
      </w:r>
    </w:p>
    <w:p>
      <w:pPr>
        <w:pStyle w:val="17"/>
        <w:tabs>
          <w:tab w:val="right" w:leader="dot" w:pos="8942"/>
        </w:tabs>
        <w:rPr>
          <w:sz w:val="28"/>
          <w:szCs w:val="28"/>
        </w:rPr>
      </w:pPr>
      <w:r>
        <w:fldChar w:fldCharType="begin"/>
      </w:r>
      <w:r>
        <w:instrText xml:space="preserve"> HYPERLINK \l "_Toc311047797" </w:instrText>
      </w:r>
      <w:r>
        <w:fldChar w:fldCharType="separate"/>
      </w:r>
      <w:r>
        <w:rPr>
          <w:rStyle w:val="24"/>
          <w:rFonts w:hint="eastAsia"/>
          <w:color w:val="auto"/>
          <w:sz w:val="28"/>
          <w:szCs w:val="28"/>
        </w:rPr>
        <w:t>二、配置及分项报价表</w:t>
      </w:r>
      <w:r>
        <w:rPr>
          <w:rStyle w:val="24"/>
          <w:rFonts w:hint="eastAsia"/>
          <w:color w:val="auto"/>
          <w:sz w:val="28"/>
          <w:szCs w:val="28"/>
        </w:rPr>
        <w:fldChar w:fldCharType="end"/>
      </w:r>
    </w:p>
    <w:p>
      <w:pPr>
        <w:pStyle w:val="17"/>
        <w:tabs>
          <w:tab w:val="right" w:leader="dot" w:pos="8942"/>
        </w:tabs>
        <w:rPr>
          <w:rStyle w:val="24"/>
          <w:color w:val="auto"/>
          <w:sz w:val="28"/>
          <w:szCs w:val="28"/>
        </w:rPr>
      </w:pPr>
      <w:r>
        <w:fldChar w:fldCharType="begin"/>
      </w:r>
      <w:r>
        <w:instrText xml:space="preserve"> HYPERLINK \l "_Toc311047798" </w:instrText>
      </w:r>
      <w:r>
        <w:fldChar w:fldCharType="separate"/>
      </w:r>
      <w:r>
        <w:rPr>
          <w:rStyle w:val="24"/>
          <w:rFonts w:hint="eastAsia"/>
          <w:color w:val="auto"/>
          <w:sz w:val="28"/>
          <w:szCs w:val="28"/>
        </w:rPr>
        <w:t>三、供货一览表</w:t>
      </w:r>
      <w:r>
        <w:rPr>
          <w:rStyle w:val="24"/>
          <w:rFonts w:hint="eastAsia"/>
          <w:color w:val="auto"/>
          <w:sz w:val="28"/>
          <w:szCs w:val="28"/>
        </w:rPr>
        <w:fldChar w:fldCharType="end"/>
      </w:r>
    </w:p>
    <w:p>
      <w:pPr>
        <w:rPr>
          <w:rStyle w:val="24"/>
          <w:color w:val="auto"/>
          <w:sz w:val="28"/>
          <w:szCs w:val="28"/>
        </w:rPr>
      </w:pPr>
      <w:r>
        <w:rPr>
          <w:rStyle w:val="24"/>
          <w:rFonts w:hint="eastAsia"/>
          <w:color w:val="auto"/>
          <w:sz w:val="28"/>
          <w:szCs w:val="28"/>
        </w:rPr>
        <w:t>四、技术相应表</w:t>
      </w:r>
    </w:p>
    <w:p>
      <w:pPr>
        <w:rPr>
          <w:rStyle w:val="24"/>
          <w:color w:val="auto"/>
          <w:sz w:val="28"/>
          <w:szCs w:val="28"/>
        </w:rPr>
      </w:pPr>
      <w:r>
        <w:rPr>
          <w:rStyle w:val="24"/>
          <w:rFonts w:hint="eastAsia"/>
          <w:color w:val="auto"/>
          <w:sz w:val="28"/>
          <w:szCs w:val="28"/>
        </w:rPr>
        <w:t>五、商务响应表</w:t>
      </w:r>
    </w:p>
    <w:p>
      <w:pPr>
        <w:pStyle w:val="17"/>
        <w:tabs>
          <w:tab w:val="right" w:leader="dot" w:pos="8942"/>
        </w:tabs>
        <w:rPr>
          <w:sz w:val="28"/>
          <w:szCs w:val="28"/>
        </w:rPr>
      </w:pPr>
      <w:r>
        <w:fldChar w:fldCharType="begin"/>
      </w:r>
      <w:r>
        <w:instrText xml:space="preserve"> HYPERLINK \l "_Toc311047801" </w:instrText>
      </w:r>
      <w:r>
        <w:fldChar w:fldCharType="separate"/>
      </w:r>
      <w:r>
        <w:rPr>
          <w:rStyle w:val="24"/>
          <w:rFonts w:hint="eastAsia"/>
          <w:color w:val="auto"/>
          <w:sz w:val="28"/>
          <w:szCs w:val="28"/>
        </w:rPr>
        <w:t>六、谈判响应函</w:t>
      </w:r>
      <w:r>
        <w:rPr>
          <w:rStyle w:val="24"/>
          <w:color w:val="auto"/>
          <w:sz w:val="28"/>
          <w:szCs w:val="28"/>
        </w:rPr>
        <w:t>(</w:t>
      </w:r>
      <w:r>
        <w:rPr>
          <w:rStyle w:val="24"/>
          <w:rFonts w:hint="eastAsia"/>
          <w:color w:val="auto"/>
          <w:sz w:val="28"/>
          <w:szCs w:val="28"/>
        </w:rPr>
        <w:t>格式</w:t>
      </w:r>
      <w:r>
        <w:rPr>
          <w:rStyle w:val="24"/>
          <w:color w:val="auto"/>
          <w:sz w:val="28"/>
          <w:szCs w:val="28"/>
        </w:rPr>
        <w:t>)</w:t>
      </w:r>
      <w:r>
        <w:rPr>
          <w:sz w:val="28"/>
          <w:szCs w:val="28"/>
        </w:rPr>
        <w:t xml:space="preserve"> </w:t>
      </w:r>
      <w:r>
        <w:rPr>
          <w:sz w:val="28"/>
          <w:szCs w:val="28"/>
        </w:rPr>
        <w:fldChar w:fldCharType="end"/>
      </w:r>
    </w:p>
    <w:p>
      <w:pPr>
        <w:pStyle w:val="54"/>
        <w:ind w:firstLine="560"/>
      </w:pPr>
      <w:r>
        <w:rPr>
          <w:szCs w:val="28"/>
        </w:rPr>
        <w:fldChar w:fldCharType="end"/>
      </w: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0" w:firstLineChars="0"/>
      </w:pPr>
    </w:p>
    <w:p>
      <w:pPr>
        <w:pStyle w:val="2"/>
        <w:jc w:val="center"/>
      </w:pPr>
      <w:bookmarkStart w:id="159" w:name="_Toc374431643"/>
      <w:bookmarkStart w:id="160" w:name="_Toc311047796"/>
      <w:bookmarkStart w:id="161" w:name="_Toc311048628"/>
      <w:r>
        <w:rPr>
          <w:rFonts w:hint="eastAsia"/>
        </w:rPr>
        <w:t>一、资信证明文件要求</w:t>
      </w:r>
      <w:bookmarkEnd w:id="159"/>
      <w:bookmarkEnd w:id="160"/>
      <w:bookmarkEnd w:id="161"/>
    </w:p>
    <w:p>
      <w:pPr>
        <w:pStyle w:val="54"/>
        <w:ind w:firstLine="560"/>
        <w:rPr>
          <w:szCs w:val="20"/>
        </w:rPr>
      </w:pPr>
      <w:r>
        <w:rPr>
          <w:rFonts w:hint="eastAsia"/>
        </w:rPr>
        <w:t xml:space="preserve"> 1、实质性资格证明文件目录</w:t>
      </w:r>
    </w:p>
    <w:p>
      <w:pPr>
        <w:spacing w:line="480" w:lineRule="exact"/>
        <w:ind w:firstLine="482" w:firstLineChars="200"/>
        <w:rPr>
          <w:rFonts w:ascii="宋体" w:hAnsi="宋体"/>
          <w:i/>
          <w:iCs/>
          <w:sz w:val="24"/>
          <w:szCs w:val="24"/>
          <w:u w:val="single"/>
        </w:rPr>
      </w:pPr>
      <w:r>
        <w:rPr>
          <w:rFonts w:hint="eastAsia" w:ascii="宋体" w:hAnsi="宋体"/>
          <w:b/>
          <w:i/>
          <w:iCs/>
          <w:sz w:val="24"/>
          <w:szCs w:val="24"/>
          <w:u w:val="single"/>
        </w:rPr>
        <w:t>文件</w:t>
      </w:r>
      <w:r>
        <w:rPr>
          <w:rFonts w:ascii="宋体" w:hAnsi="宋体"/>
          <w:b/>
          <w:i/>
          <w:iCs/>
          <w:sz w:val="24"/>
          <w:szCs w:val="24"/>
          <w:u w:val="single"/>
        </w:rPr>
        <w:t>1</w:t>
      </w:r>
      <w:r>
        <w:rPr>
          <w:rFonts w:hint="eastAsia" w:ascii="宋体" w:hAnsi="宋体"/>
          <w:b/>
          <w:i/>
          <w:iCs/>
          <w:sz w:val="24"/>
          <w:szCs w:val="24"/>
          <w:u w:val="single"/>
        </w:rPr>
        <w:t xml:space="preserve"> </w:t>
      </w:r>
      <w:r>
        <w:rPr>
          <w:rFonts w:ascii="宋体" w:hAnsi="宋体"/>
          <w:b/>
          <w:i/>
          <w:iCs/>
          <w:sz w:val="24"/>
          <w:szCs w:val="24"/>
          <w:u w:val="single"/>
        </w:rPr>
        <w:t xml:space="preserve"> </w:t>
      </w:r>
      <w:r>
        <w:rPr>
          <w:rFonts w:hint="eastAsia" w:ascii="宋体" w:hAnsi="宋体"/>
          <w:i/>
          <w:iCs/>
          <w:sz w:val="24"/>
          <w:szCs w:val="24"/>
          <w:u w:val="single"/>
        </w:rPr>
        <w:t>法人或者其他组织的营业执照等证明文件，自然人的身份证明（含法人、授权人身份证）以上材料为复印件，原件备查</w:t>
      </w:r>
    </w:p>
    <w:p>
      <w:pPr>
        <w:spacing w:line="480" w:lineRule="exact"/>
        <w:ind w:firstLine="482" w:firstLineChars="200"/>
        <w:rPr>
          <w:rFonts w:ascii="宋体" w:hAnsi="宋体"/>
          <w:b/>
          <w:i/>
          <w:iCs/>
          <w:sz w:val="24"/>
          <w:szCs w:val="24"/>
          <w:u w:val="single"/>
        </w:rPr>
      </w:pPr>
      <w:r>
        <w:rPr>
          <w:rFonts w:hint="eastAsia" w:ascii="宋体" w:hAnsi="宋体"/>
          <w:b/>
          <w:i/>
          <w:iCs/>
          <w:sz w:val="24"/>
          <w:szCs w:val="24"/>
          <w:u w:val="single"/>
        </w:rPr>
        <w:t>文件</w:t>
      </w:r>
      <w:r>
        <w:rPr>
          <w:rFonts w:ascii="宋体" w:hAnsi="宋体"/>
          <w:b/>
          <w:i/>
          <w:iCs/>
          <w:sz w:val="24"/>
          <w:szCs w:val="24"/>
          <w:u w:val="single"/>
        </w:rPr>
        <w:t>2</w:t>
      </w:r>
      <w:r>
        <w:rPr>
          <w:rFonts w:hint="eastAsia" w:ascii="宋体" w:hAnsi="宋体"/>
          <w:b/>
          <w:i/>
          <w:iCs/>
          <w:sz w:val="24"/>
          <w:szCs w:val="24"/>
          <w:u w:val="single"/>
        </w:rPr>
        <w:t xml:space="preserve">  </w:t>
      </w:r>
      <w:r>
        <w:rPr>
          <w:rFonts w:hint="eastAsia" w:hAnsi="宋体"/>
          <w:i/>
          <w:u w:val="single"/>
          <w:lang w:bidi="en-US"/>
        </w:rPr>
        <w:t>上一年度经审计的财务报告（复印件加盖公章）或近六个月中任意1个月的财务报表或其开户银行出具的资信证明（距谈判时间3个月内开具，原件或复印件）</w:t>
      </w:r>
      <w:r>
        <w:rPr>
          <w:rFonts w:hint="eastAsia" w:ascii="宋体" w:hAnsi="宋体"/>
          <w:i/>
          <w:iCs/>
          <w:sz w:val="24"/>
          <w:szCs w:val="24"/>
          <w:u w:val="single"/>
        </w:rPr>
        <w:t>）</w:t>
      </w:r>
      <w:r>
        <w:rPr>
          <w:rFonts w:hint="eastAsia" w:hAnsi="宋体"/>
          <w:lang w:bidi="en-US"/>
        </w:rPr>
        <w:t>；</w:t>
      </w:r>
      <w:r>
        <w:rPr>
          <w:rFonts w:hint="eastAsia" w:ascii="宋体" w:hAnsi="宋体"/>
          <w:i/>
          <w:iCs/>
          <w:sz w:val="24"/>
          <w:szCs w:val="24"/>
          <w:u w:val="single"/>
        </w:rPr>
        <w:t>以上材料提供复印件，原件备查，成立不满一年不需提供</w:t>
      </w:r>
    </w:p>
    <w:p>
      <w:pPr>
        <w:snapToGrid w:val="0"/>
        <w:spacing w:line="360" w:lineRule="auto"/>
        <w:rPr>
          <w:rFonts w:ascii="宋体" w:hAnsi="宋体"/>
          <w:i/>
          <w:iCs/>
          <w:sz w:val="24"/>
          <w:szCs w:val="24"/>
          <w:u w:val="single"/>
        </w:rPr>
      </w:pPr>
      <w:r>
        <w:rPr>
          <w:rFonts w:hint="eastAsia" w:ascii="宋体" w:hAnsi="宋体"/>
          <w:b/>
          <w:i/>
          <w:iCs/>
          <w:sz w:val="24"/>
          <w:szCs w:val="24"/>
          <w:u w:val="single"/>
        </w:rPr>
        <w:t>文件</w:t>
      </w:r>
      <w:r>
        <w:rPr>
          <w:rFonts w:ascii="宋体" w:hAnsi="宋体"/>
          <w:b/>
          <w:i/>
          <w:iCs/>
          <w:sz w:val="24"/>
          <w:szCs w:val="24"/>
          <w:u w:val="single"/>
        </w:rPr>
        <w:t xml:space="preserve">3  </w:t>
      </w:r>
      <w:r>
        <w:rPr>
          <w:rFonts w:hint="eastAsia" w:ascii="宋体" w:hAnsi="宋体"/>
          <w:i/>
          <w:iCs/>
          <w:sz w:val="24"/>
          <w:szCs w:val="24"/>
          <w:u w:val="single"/>
        </w:rPr>
        <w:t>依法缴纳税收的相关材料（</w:t>
      </w:r>
      <w:r>
        <w:rPr>
          <w:rFonts w:hint="eastAsia" w:hAnsi="宋体"/>
          <w:i/>
          <w:u w:val="single"/>
          <w:lang w:bidi="en-US"/>
        </w:rPr>
        <w:t>提供有效的税务登记证（非三证合一单位提供，复印件加盖公章）、2018年任意1个月的纳税证明文件（复印件加盖公章，依法免税的应提供相应文件说明）；</w:t>
      </w:r>
      <w:r>
        <w:rPr>
          <w:rFonts w:hint="eastAsia" w:ascii="宋体" w:hAnsi="宋体"/>
          <w:i/>
          <w:iCs/>
          <w:sz w:val="24"/>
          <w:szCs w:val="24"/>
          <w:u w:val="single"/>
        </w:rPr>
        <w:t>以上材料提供复印件，原件备查。</w:t>
      </w:r>
    </w:p>
    <w:p>
      <w:pPr>
        <w:snapToGrid w:val="0"/>
        <w:spacing w:line="360" w:lineRule="auto"/>
        <w:rPr>
          <w:rFonts w:hAnsi="宋体"/>
          <w:b/>
          <w:i/>
          <w:u w:val="single"/>
          <w:lang w:bidi="en-US"/>
        </w:rPr>
      </w:pPr>
      <w:r>
        <w:rPr>
          <w:rFonts w:hint="eastAsia" w:ascii="宋体" w:hAnsi="宋体"/>
          <w:b/>
          <w:i/>
          <w:iCs/>
          <w:sz w:val="24"/>
          <w:szCs w:val="24"/>
          <w:u w:val="single"/>
        </w:rPr>
        <w:t>文件4</w:t>
      </w:r>
      <w:r>
        <w:rPr>
          <w:rFonts w:hint="eastAsia" w:hAnsi="宋体"/>
          <w:b/>
          <w:i/>
          <w:u w:val="single"/>
          <w:lang w:bidi="en-US"/>
        </w:rPr>
        <w:t>、</w:t>
      </w:r>
      <w:r>
        <w:rPr>
          <w:rFonts w:hint="eastAsia" w:hAnsi="宋体"/>
          <w:i/>
          <w:u w:val="single"/>
          <w:lang w:bidi="en-US"/>
        </w:rPr>
        <w:t>依法缴纳社会保障资金记录（提供谈判时间前3个月内依法缴纳社会保障资金的证明材料（任意1个月即可），证明材料可以是缴费的银行单据、专用收据、社会保险缴纳清单或者所在社保机构开具的证明等（复印件加盖公章，自行编写无效，依法不需要缴纳社会保障资金的应提供相应文件说明）；</w:t>
      </w:r>
    </w:p>
    <w:p>
      <w:pPr>
        <w:spacing w:line="480" w:lineRule="exact"/>
        <w:ind w:firstLine="482" w:firstLineChars="200"/>
        <w:rPr>
          <w:rFonts w:ascii="宋体" w:hAnsi="宋体"/>
          <w:b/>
          <w:i/>
          <w:iCs/>
          <w:sz w:val="24"/>
          <w:szCs w:val="24"/>
          <w:u w:val="single"/>
        </w:rPr>
      </w:pPr>
      <w:r>
        <w:rPr>
          <w:rFonts w:hint="eastAsia" w:ascii="宋体" w:hAnsi="宋体"/>
          <w:b/>
          <w:i/>
          <w:iCs/>
          <w:sz w:val="24"/>
          <w:szCs w:val="24"/>
          <w:u w:val="single"/>
        </w:rPr>
        <w:t>文件5</w:t>
      </w:r>
      <w:r>
        <w:rPr>
          <w:rFonts w:hint="eastAsia" w:ascii="宋体" w:hAnsi="宋体"/>
          <w:i/>
          <w:iCs/>
          <w:sz w:val="24"/>
          <w:szCs w:val="24"/>
          <w:u w:val="single"/>
        </w:rPr>
        <w:t>具备履行合同所必需的设备和专业技术能力证明材料（</w:t>
      </w:r>
      <w:r>
        <w:rPr>
          <w:rFonts w:ascii="宋体" w:hAnsi="宋体"/>
          <w:i/>
          <w:iCs/>
          <w:sz w:val="24"/>
          <w:szCs w:val="24"/>
          <w:u w:val="single"/>
        </w:rPr>
        <w:t>原件,</w:t>
      </w:r>
      <w:r>
        <w:rPr>
          <w:rFonts w:hint="eastAsia" w:ascii="宋体" w:hAnsi="宋体"/>
          <w:i/>
          <w:iCs/>
          <w:sz w:val="24"/>
          <w:szCs w:val="24"/>
          <w:u w:val="single"/>
        </w:rPr>
        <w:t>格式见附表）</w:t>
      </w:r>
    </w:p>
    <w:p>
      <w:pPr>
        <w:pStyle w:val="54"/>
        <w:ind w:firstLine="482"/>
        <w:rPr>
          <w:rFonts w:ascii="宋体" w:hAnsi="宋体"/>
          <w:i/>
          <w:iCs/>
          <w:sz w:val="24"/>
          <w:szCs w:val="24"/>
          <w:u w:val="single"/>
        </w:rPr>
      </w:pPr>
      <w:r>
        <w:rPr>
          <w:rFonts w:hint="eastAsia" w:ascii="宋体" w:hAnsi="宋体"/>
          <w:b/>
          <w:i/>
          <w:iCs/>
          <w:sz w:val="24"/>
          <w:szCs w:val="24"/>
          <w:u w:val="single"/>
        </w:rPr>
        <w:t xml:space="preserve">文件6 </w:t>
      </w:r>
      <w:r>
        <w:rPr>
          <w:rFonts w:hint="eastAsia" w:ascii="宋体" w:hAnsi="宋体"/>
          <w:i/>
          <w:iCs/>
          <w:sz w:val="24"/>
          <w:szCs w:val="24"/>
          <w:u w:val="single"/>
        </w:rPr>
        <w:t>参加政府采购活动前 3 年内在经营活动中没有重大违法记录的书面声明（</w:t>
      </w:r>
      <w:r>
        <w:rPr>
          <w:rFonts w:ascii="宋体" w:hAnsi="宋体"/>
          <w:i/>
          <w:iCs/>
          <w:sz w:val="24"/>
          <w:szCs w:val="24"/>
          <w:u w:val="single"/>
        </w:rPr>
        <w:t>原件,</w:t>
      </w:r>
      <w:r>
        <w:rPr>
          <w:rFonts w:hint="eastAsia" w:ascii="宋体" w:hAnsi="宋体"/>
          <w:i/>
          <w:iCs/>
          <w:sz w:val="24"/>
          <w:szCs w:val="24"/>
          <w:u w:val="single"/>
        </w:rPr>
        <w:t>格式见附表）。</w:t>
      </w:r>
    </w:p>
    <w:p>
      <w:pPr>
        <w:pStyle w:val="54"/>
        <w:ind w:firstLine="482"/>
        <w:rPr>
          <w:rFonts w:ascii="宋体" w:hAnsi="宋体"/>
          <w:i/>
          <w:iCs/>
          <w:sz w:val="24"/>
          <w:szCs w:val="24"/>
          <w:u w:val="single"/>
        </w:rPr>
      </w:pPr>
      <w:r>
        <w:rPr>
          <w:rFonts w:hint="eastAsia" w:ascii="宋体" w:hAnsi="宋体"/>
          <w:b/>
          <w:i/>
          <w:iCs/>
          <w:sz w:val="24"/>
          <w:szCs w:val="24"/>
          <w:u w:val="single"/>
        </w:rPr>
        <w:t>文件7</w:t>
      </w:r>
      <w:r>
        <w:rPr>
          <w:rFonts w:hint="eastAsia" w:ascii="宋体" w:hAnsi="宋体"/>
          <w:i/>
          <w:iCs/>
          <w:sz w:val="24"/>
          <w:szCs w:val="24"/>
          <w:u w:val="single"/>
        </w:rPr>
        <w:t>要求提供的各项资质证书复印件</w:t>
      </w:r>
    </w:p>
    <w:p>
      <w:pPr>
        <w:pStyle w:val="54"/>
        <w:ind w:firstLine="480"/>
        <w:rPr>
          <w:rFonts w:hint="eastAsia" w:ascii="宋体" w:hAnsi="宋体"/>
          <w:i/>
          <w:iCs/>
          <w:sz w:val="24"/>
          <w:szCs w:val="24"/>
          <w:u w:val="single"/>
        </w:rPr>
      </w:pPr>
      <w:r>
        <w:rPr>
          <w:rFonts w:hint="eastAsia" w:ascii="宋体" w:hAnsi="宋体"/>
          <w:i/>
          <w:iCs/>
          <w:sz w:val="24"/>
          <w:szCs w:val="24"/>
          <w:u w:val="single"/>
        </w:rPr>
        <w:t>文件8企业声明函</w:t>
      </w:r>
    </w:p>
    <w:p>
      <w:pPr>
        <w:pStyle w:val="54"/>
        <w:ind w:firstLine="480"/>
        <w:rPr>
          <w:rFonts w:ascii="宋体" w:hAnsi="宋体"/>
          <w:i/>
          <w:iCs/>
          <w:sz w:val="24"/>
          <w:szCs w:val="24"/>
          <w:u w:val="single"/>
        </w:rPr>
      </w:pPr>
      <w:r>
        <w:rPr>
          <w:rFonts w:hint="eastAsia" w:ascii="宋体" w:hAnsi="宋体"/>
          <w:i/>
          <w:iCs/>
          <w:sz w:val="24"/>
          <w:szCs w:val="24"/>
          <w:u w:val="single"/>
        </w:rPr>
        <w:t>文件9制造厂家针对本项目的唯一授权书或供应商取得的产品代理证书复印件</w:t>
      </w:r>
    </w:p>
    <w:p>
      <w:pPr>
        <w:pStyle w:val="54"/>
        <w:ind w:firstLine="482"/>
        <w:rPr>
          <w:rFonts w:ascii="宋体" w:hAnsi="宋体"/>
          <w:i/>
          <w:iCs/>
          <w:sz w:val="24"/>
          <w:szCs w:val="24"/>
          <w:u w:val="single"/>
        </w:rPr>
      </w:pPr>
      <w:r>
        <w:rPr>
          <w:rFonts w:hint="eastAsia" w:ascii="宋体" w:hAnsi="宋体"/>
          <w:b/>
          <w:i/>
          <w:iCs/>
          <w:sz w:val="24"/>
          <w:szCs w:val="24"/>
          <w:u w:val="single"/>
        </w:rPr>
        <w:t>文件10</w:t>
      </w:r>
      <w:r>
        <w:rPr>
          <w:rFonts w:hint="eastAsia" w:ascii="宋体" w:hAnsi="宋体"/>
          <w:i/>
          <w:iCs/>
          <w:sz w:val="24"/>
          <w:szCs w:val="24"/>
          <w:u w:val="single"/>
        </w:rPr>
        <w:t>本采购文件中其他实质性要求</w:t>
      </w:r>
    </w:p>
    <w:p>
      <w:pPr>
        <w:pStyle w:val="54"/>
        <w:ind w:firstLine="480"/>
        <w:rPr>
          <w:sz w:val="24"/>
          <w:szCs w:val="24"/>
        </w:rPr>
      </w:pPr>
      <w:r>
        <w:rPr>
          <w:rFonts w:hint="eastAsia"/>
          <w:sz w:val="24"/>
          <w:szCs w:val="24"/>
        </w:rPr>
        <w:t>2、非实质性资信证明文件目录</w:t>
      </w:r>
    </w:p>
    <w:p>
      <w:pPr>
        <w:pStyle w:val="54"/>
        <w:ind w:firstLine="480"/>
        <w:rPr>
          <w:sz w:val="24"/>
          <w:szCs w:val="24"/>
        </w:rPr>
      </w:pPr>
      <w:r>
        <w:rPr>
          <w:rFonts w:hint="eastAsia"/>
          <w:sz w:val="24"/>
          <w:szCs w:val="24"/>
        </w:rPr>
        <w:t>（1）供应商认为可以证明其能力或业绩的其他材料----包含成功案例和业绩证明（供应商同类项目实施情况一览表、合同复印件、用户验收报告、用户评价意见等）；</w:t>
      </w:r>
    </w:p>
    <w:p>
      <w:pPr>
        <w:pStyle w:val="54"/>
        <w:ind w:firstLine="480"/>
        <w:rPr>
          <w:sz w:val="24"/>
          <w:szCs w:val="24"/>
        </w:rPr>
      </w:pPr>
      <w:r>
        <w:rPr>
          <w:rFonts w:hint="eastAsia"/>
          <w:sz w:val="24"/>
          <w:szCs w:val="24"/>
        </w:rPr>
        <w:t>（2）采购文件列明的影响供应商资格的其他证明文件：</w:t>
      </w:r>
    </w:p>
    <w:p>
      <w:pPr>
        <w:pStyle w:val="54"/>
        <w:ind w:firstLine="480"/>
        <w:rPr>
          <w:sz w:val="24"/>
          <w:szCs w:val="24"/>
        </w:rPr>
      </w:pPr>
      <w:r>
        <w:rPr>
          <w:rFonts w:hint="eastAsia"/>
          <w:sz w:val="24"/>
          <w:szCs w:val="24"/>
        </w:rPr>
        <w:t>谈判选用产品的制造商对本项目的售后服务承诺—————</w:t>
      </w:r>
    </w:p>
    <w:p>
      <w:pPr>
        <w:pStyle w:val="54"/>
        <w:ind w:left="561" w:leftChars="267" w:firstLine="0" w:firstLineChars="0"/>
        <w:rPr>
          <w:sz w:val="24"/>
          <w:szCs w:val="24"/>
        </w:rPr>
      </w:pPr>
      <w:r>
        <w:rPr>
          <w:rFonts w:hint="eastAsia"/>
          <w:sz w:val="24"/>
          <w:szCs w:val="24"/>
        </w:rPr>
        <w:t>本地化服务能力证明（距南京信息职业技术学院最近的服务网点情况表）———                            参加本项目实施人员资历表及技术资质证明材料等（格式自拟）</w:t>
      </w:r>
    </w:p>
    <w:p>
      <w:pPr>
        <w:pStyle w:val="54"/>
        <w:ind w:firstLine="480"/>
        <w:rPr>
          <w:sz w:val="24"/>
          <w:szCs w:val="24"/>
        </w:rPr>
      </w:pPr>
      <w:r>
        <w:rPr>
          <w:rFonts w:hint="eastAsia"/>
          <w:sz w:val="24"/>
          <w:szCs w:val="24"/>
        </w:rPr>
        <w:t>（3）节能、环境标志产品等方面的证书或文件————————</w:t>
      </w:r>
    </w:p>
    <w:p>
      <w:pPr>
        <w:pStyle w:val="54"/>
        <w:ind w:firstLine="480"/>
        <w:rPr>
          <w:sz w:val="24"/>
          <w:szCs w:val="24"/>
        </w:rPr>
      </w:pPr>
      <w:r>
        <w:rPr>
          <w:rFonts w:hint="eastAsia"/>
          <w:sz w:val="24"/>
          <w:szCs w:val="24"/>
        </w:rPr>
        <w:t>（4）供应商的信誉、荣誉证书或文件————————</w:t>
      </w:r>
    </w:p>
    <w:p>
      <w:pPr>
        <w:pStyle w:val="54"/>
        <w:ind w:firstLine="480"/>
        <w:rPr>
          <w:sz w:val="24"/>
          <w:szCs w:val="24"/>
        </w:rPr>
      </w:pPr>
      <w:r>
        <w:rPr>
          <w:rFonts w:hint="eastAsia"/>
          <w:sz w:val="24"/>
          <w:szCs w:val="24"/>
        </w:rPr>
        <w:t>（5）供应商质量保证体系、环境保证体系等方面的认证证书————————</w:t>
      </w:r>
    </w:p>
    <w:p>
      <w:pPr>
        <w:pStyle w:val="54"/>
        <w:ind w:firstLine="480"/>
      </w:pPr>
      <w:r>
        <w:rPr>
          <w:rFonts w:hint="eastAsia"/>
          <w:sz w:val="24"/>
          <w:szCs w:val="24"/>
        </w:rPr>
        <w:t>本文件规定的和谈判供应商认为需要提交的与本项目相关的证明材料。</w:t>
      </w:r>
    </w:p>
    <w:p>
      <w:pPr>
        <w:pStyle w:val="54"/>
        <w:ind w:firstLine="560"/>
        <w:jc w:val="center"/>
      </w:pPr>
      <w:r>
        <w:rPr>
          <w:rFonts w:hint="eastAsia"/>
        </w:rPr>
        <w:br w:type="page"/>
      </w:r>
    </w:p>
    <w:p>
      <w:pPr>
        <w:pStyle w:val="54"/>
        <w:ind w:firstLine="560"/>
        <w:jc w:val="center"/>
      </w:pPr>
    </w:p>
    <w:p>
      <w:pPr>
        <w:pStyle w:val="54"/>
        <w:ind w:firstLine="560"/>
        <w:jc w:val="center"/>
        <w:rPr>
          <w:b/>
        </w:rPr>
      </w:pPr>
      <w:r>
        <w:rPr>
          <w:rFonts w:hint="eastAsia"/>
        </w:rPr>
        <w:t>（</w:t>
      </w:r>
      <w:r>
        <w:rPr>
          <w:rFonts w:hint="eastAsia"/>
          <w:b/>
        </w:rPr>
        <w:t>一）、授权书（格式）</w:t>
      </w:r>
    </w:p>
    <w:p>
      <w:pPr>
        <w:pStyle w:val="54"/>
        <w:ind w:firstLine="480"/>
        <w:rPr>
          <w:sz w:val="24"/>
          <w:szCs w:val="24"/>
        </w:rPr>
      </w:pPr>
      <w:r>
        <w:rPr>
          <w:rFonts w:hint="eastAsia"/>
          <w:sz w:val="24"/>
          <w:szCs w:val="24"/>
        </w:rPr>
        <w:t>本授权书声明：____________（供应商名称）授权________________（被授权人的姓名）为我方就NJCIT</w:t>
      </w:r>
      <w:r>
        <w:rPr>
          <w:rFonts w:hint="eastAsia"/>
          <w:sz w:val="24"/>
          <w:szCs w:val="24"/>
          <w:u w:val="single"/>
        </w:rPr>
        <w:t xml:space="preserve">        </w:t>
      </w:r>
      <w:r>
        <w:rPr>
          <w:rFonts w:hint="eastAsia"/>
          <w:sz w:val="24"/>
          <w:szCs w:val="24"/>
        </w:rPr>
        <w:t>号项目采购活动的合法代理人，以本公司名义全权处理一切与该项目采购有关的事务。</w:t>
      </w:r>
    </w:p>
    <w:p>
      <w:pPr>
        <w:pStyle w:val="54"/>
        <w:ind w:firstLine="480"/>
        <w:rPr>
          <w:sz w:val="24"/>
          <w:szCs w:val="24"/>
        </w:rPr>
      </w:pPr>
      <w:r>
        <w:rPr>
          <w:rFonts w:hint="eastAsia"/>
          <w:sz w:val="24"/>
          <w:szCs w:val="24"/>
        </w:rPr>
        <w:t>本授权书于______年____月____日起生效，特此声明。</w:t>
      </w:r>
    </w:p>
    <w:p>
      <w:pPr>
        <w:pStyle w:val="54"/>
        <w:ind w:firstLine="0" w:firstLineChars="0"/>
        <w:rPr>
          <w:sz w:val="24"/>
          <w:szCs w:val="24"/>
        </w:rPr>
      </w:pPr>
      <w:r>
        <w:rPr>
          <w:rFonts w:hint="eastAsia"/>
          <w:sz w:val="24"/>
          <w:szCs w:val="24"/>
        </w:rPr>
        <w:t xml:space="preserve">          代理人（被授权人）：_______________________</w:t>
      </w:r>
    </w:p>
    <w:p>
      <w:pPr>
        <w:pStyle w:val="54"/>
        <w:ind w:firstLine="0" w:firstLineChars="0"/>
        <w:rPr>
          <w:sz w:val="24"/>
          <w:szCs w:val="24"/>
        </w:rPr>
      </w:pPr>
      <w:r>
        <w:rPr>
          <w:rFonts w:hint="eastAsia"/>
          <w:sz w:val="24"/>
          <w:szCs w:val="24"/>
        </w:rPr>
        <w:t xml:space="preserve">         </w:t>
      </w:r>
    </w:p>
    <w:p>
      <w:pPr>
        <w:pStyle w:val="54"/>
        <w:ind w:firstLine="0" w:firstLineChars="0"/>
        <w:rPr>
          <w:sz w:val="24"/>
          <w:szCs w:val="24"/>
        </w:rPr>
      </w:pPr>
      <w:r>
        <w:rPr>
          <w:rFonts w:hint="eastAsia"/>
          <w:sz w:val="24"/>
          <w:szCs w:val="24"/>
        </w:rPr>
        <w:t xml:space="preserve">          单位名称：_____________________________________</w:t>
      </w:r>
    </w:p>
    <w:p>
      <w:pPr>
        <w:pStyle w:val="54"/>
        <w:ind w:firstLine="480"/>
        <w:rPr>
          <w:sz w:val="24"/>
          <w:szCs w:val="24"/>
        </w:rPr>
      </w:pPr>
    </w:p>
    <w:p>
      <w:pPr>
        <w:pStyle w:val="54"/>
        <w:ind w:firstLine="0" w:firstLineChars="0"/>
        <w:rPr>
          <w:sz w:val="24"/>
          <w:szCs w:val="24"/>
        </w:rPr>
      </w:pPr>
      <w:r>
        <w:rPr>
          <w:rFonts w:hint="eastAsia"/>
          <w:sz w:val="24"/>
          <w:szCs w:val="24"/>
        </w:rPr>
        <w:t xml:space="preserve">          授权单位盖章：_________________________________</w:t>
      </w:r>
    </w:p>
    <w:p>
      <w:pPr>
        <w:pStyle w:val="54"/>
        <w:ind w:firstLine="480"/>
        <w:rPr>
          <w:sz w:val="24"/>
          <w:szCs w:val="24"/>
        </w:rPr>
      </w:pPr>
      <w:r>
        <w:rPr>
          <w:rFonts w:hint="eastAsia"/>
          <w:sz w:val="24"/>
          <w:szCs w:val="24"/>
        </w:rPr>
        <w:t xml:space="preserve">      单位名称：_____________________________________</w:t>
      </w:r>
    </w:p>
    <w:p>
      <w:pPr>
        <w:pStyle w:val="54"/>
        <w:ind w:firstLine="480"/>
        <w:rPr>
          <w:sz w:val="24"/>
          <w:szCs w:val="24"/>
          <w:u w:val="single"/>
        </w:rPr>
      </w:pPr>
      <w:r>
        <w:rPr>
          <w:rFonts w:hint="eastAsia"/>
          <w:sz w:val="24"/>
          <w:szCs w:val="24"/>
        </w:rPr>
        <w:t xml:space="preserve">      地址：</w:t>
      </w:r>
      <w:r>
        <w:rPr>
          <w:rFonts w:hint="eastAsia"/>
          <w:sz w:val="24"/>
          <w:szCs w:val="24"/>
          <w:u w:val="single"/>
        </w:rPr>
        <w:t xml:space="preserve">                                         </w:t>
      </w:r>
    </w:p>
    <w:p>
      <w:pPr>
        <w:pStyle w:val="54"/>
        <w:ind w:firstLine="480"/>
        <w:rPr>
          <w:sz w:val="24"/>
          <w:szCs w:val="24"/>
        </w:rPr>
      </w:pPr>
      <w:r>
        <w:rPr>
          <w:rFonts w:hint="eastAsia"/>
          <w:sz w:val="24"/>
          <w:szCs w:val="24"/>
        </w:rPr>
        <w:t xml:space="preserve">      日期：                    </w:t>
      </w:r>
    </w:p>
    <w:p>
      <w:pPr>
        <w:pStyle w:val="54"/>
        <w:ind w:firstLine="480"/>
        <w:rPr>
          <w:sz w:val="24"/>
          <w:szCs w:val="24"/>
        </w:rPr>
      </w:pPr>
      <w:r>
        <w:rPr>
          <w:rFonts w:hint="eastAsia"/>
          <w:sz w:val="24"/>
          <w:szCs w:val="24"/>
        </w:rPr>
        <w:t xml:space="preserve">                  </w:t>
      </w:r>
    </w:p>
    <w:p>
      <w:pPr>
        <w:pStyle w:val="4"/>
        <w:ind w:firstLine="643"/>
      </w:pPr>
    </w:p>
    <w:p>
      <w:pPr>
        <w:pStyle w:val="54"/>
        <w:ind w:firstLine="560"/>
      </w:pPr>
      <w:r>
        <w:rPr>
          <w:rFonts w:hint="eastAsia"/>
        </w:rPr>
        <w:t xml:space="preserve">    </w:t>
      </w:r>
    </w:p>
    <w:p>
      <w:pPr>
        <w:pStyle w:val="54"/>
        <w:ind w:firstLine="0" w:firstLineChars="0"/>
      </w:pPr>
    </w:p>
    <w:p>
      <w:pPr>
        <w:pStyle w:val="4"/>
        <w:ind w:firstLine="643"/>
        <w:rPr>
          <w:rFonts w:ascii="黑体" w:hAnsi="宋体" w:eastAsia="黑体"/>
          <w:sz w:val="30"/>
          <w:szCs w:val="30"/>
        </w:rPr>
      </w:pPr>
      <w:bookmarkStart w:id="162" w:name="_Toc462564147"/>
      <w:r>
        <w:rPr>
          <w:rFonts w:hint="eastAsia"/>
        </w:rPr>
        <w:br w:type="page"/>
      </w:r>
      <w:bookmarkEnd w:id="162"/>
      <w:bookmarkStart w:id="163" w:name="_Hlt26955070"/>
      <w:bookmarkEnd w:id="163"/>
      <w:bookmarkStart w:id="164" w:name="_Hlt26671380"/>
      <w:bookmarkEnd w:id="164"/>
      <w:bookmarkStart w:id="165" w:name="_格式3__银行出具的资信证明"/>
      <w:bookmarkEnd w:id="165"/>
      <w:r>
        <w:rPr>
          <w:rFonts w:hint="eastAsia" w:ascii="黑体" w:hAnsi="宋体" w:eastAsia="黑体"/>
          <w:sz w:val="30"/>
          <w:szCs w:val="30"/>
        </w:rPr>
        <w:t>参加政府采购活动前 3 年内在经营活动中没有重大违法记</w:t>
      </w:r>
      <w:r>
        <w:rPr>
          <w:rFonts w:hint="eastAsia" w:ascii="黑体" w:hAnsi="宋体" w:eastAsia="黑体"/>
          <w:b w:val="0"/>
          <w:bCs w:val="0"/>
          <w:sz w:val="30"/>
          <w:szCs w:val="30"/>
        </w:rPr>
        <w:t>录的书面声明(参考格式)</w:t>
      </w:r>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rPr>
          <w:rFonts w:ascii="宋体" w:hAnsi="宋体"/>
          <w:b/>
          <w:bCs/>
          <w:sz w:val="44"/>
          <w:szCs w:val="44"/>
        </w:rPr>
      </w:pPr>
      <w:r>
        <w:rPr>
          <w:rFonts w:hint="eastAsia" w:ascii="宋体" w:hAnsi="宋体"/>
          <w:b/>
          <w:bCs/>
          <w:sz w:val="44"/>
          <w:szCs w:val="44"/>
        </w:rPr>
        <w:t xml:space="preserve">                   声  明</w:t>
      </w:r>
    </w:p>
    <w:p>
      <w:pPr>
        <w:spacing w:line="460" w:lineRule="exact"/>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r>
        <w:rPr>
          <w:rFonts w:hint="eastAsia" w:ascii="宋体" w:hAnsi="宋体"/>
          <w:bCs/>
          <w:sz w:val="24"/>
        </w:rPr>
        <w:t xml:space="preserve">                                      授权代表签字：</w:t>
      </w:r>
      <w:r>
        <w:rPr>
          <w:rFonts w:hint="eastAsia" w:ascii="宋体" w:hAnsi="宋体"/>
          <w:bCs/>
          <w:sz w:val="24"/>
          <w:u w:val="single"/>
        </w:rPr>
        <w:t>_______________________</w:t>
      </w:r>
    </w:p>
    <w:p>
      <w:pPr>
        <w:pStyle w:val="54"/>
        <w:ind w:firstLine="480"/>
        <w:jc w:val="cente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t xml:space="preserve"> </w:t>
      </w:r>
    </w:p>
    <w:p>
      <w:pPr>
        <w:pStyle w:val="54"/>
        <w:ind w:firstLine="560"/>
      </w:pPr>
    </w:p>
    <w:p>
      <w:pPr>
        <w:pStyle w:val="54"/>
        <w:ind w:firstLine="560"/>
      </w:pPr>
    </w:p>
    <w:p>
      <w:pPr>
        <w:pStyle w:val="54"/>
        <w:ind w:firstLine="562"/>
        <w:jc w:val="center"/>
        <w:rPr>
          <w:b/>
        </w:rPr>
      </w:pPr>
      <w:r>
        <w:rPr>
          <w:rFonts w:hint="eastAsia"/>
          <w:b/>
        </w:rPr>
        <w:t>具备履行合同所必需的设备和专业技术能力的书面声明</w:t>
      </w:r>
    </w:p>
    <w:p>
      <w:pPr>
        <w:pStyle w:val="54"/>
        <w:ind w:firstLine="560"/>
      </w:pPr>
      <w:r>
        <w:rPr>
          <w:rFonts w:hint="eastAsia"/>
        </w:rPr>
        <w:t>我公司郑重声明：我公司具备履行本项采购合同所必需的设备和专业技术能力，为履行本项采购合同我公司具备如下主要设备和主要专业技术能力：</w:t>
      </w:r>
    </w:p>
    <w:p>
      <w:pPr>
        <w:pStyle w:val="54"/>
        <w:ind w:firstLine="560"/>
      </w:pPr>
      <w:r>
        <w:rPr>
          <w:rFonts w:hint="eastAsia"/>
        </w:rPr>
        <w:t>主要设备有：  。</w:t>
      </w:r>
    </w:p>
    <w:p>
      <w:pPr>
        <w:pStyle w:val="54"/>
        <w:ind w:firstLine="560"/>
      </w:pPr>
      <w:r>
        <w:rPr>
          <w:rFonts w:hint="eastAsia"/>
        </w:rPr>
        <w:t>主要专业技术能力有：   。</w:t>
      </w:r>
    </w:p>
    <w:p>
      <w:pPr>
        <w:pStyle w:val="54"/>
        <w:ind w:firstLine="560"/>
      </w:pPr>
      <w:r>
        <w:rPr>
          <w:rFonts w:hint="eastAsia"/>
        </w:rPr>
        <w:t xml:space="preserve">                                      供应商名称（公章）：</w:t>
      </w:r>
    </w:p>
    <w:p>
      <w:pPr>
        <w:pStyle w:val="54"/>
        <w:ind w:firstLine="560"/>
      </w:pPr>
      <w:r>
        <w:t xml:space="preserve">                                     </w:t>
      </w:r>
    </w:p>
    <w:p>
      <w:pPr>
        <w:pStyle w:val="54"/>
        <w:ind w:firstLine="560"/>
      </w:pPr>
      <w:r>
        <w:rPr>
          <w:rFonts w:hint="eastAsia"/>
        </w:rPr>
        <w:t xml:space="preserve">                                 日期：______年    月    日</w:t>
      </w:r>
    </w:p>
    <w:p>
      <w:pPr>
        <w:pStyle w:val="54"/>
        <w:ind w:firstLine="560"/>
      </w:pPr>
    </w:p>
    <w:p>
      <w:pPr>
        <w:pStyle w:val="54"/>
        <w:ind w:firstLine="0" w:firstLineChars="0"/>
      </w:pPr>
    </w:p>
    <w:p>
      <w:pPr>
        <w:pStyle w:val="54"/>
        <w:ind w:firstLine="560"/>
      </w:pPr>
    </w:p>
    <w:p>
      <w:pPr>
        <w:pStyle w:val="54"/>
        <w:ind w:firstLine="560"/>
      </w:pPr>
    </w:p>
    <w:p>
      <w:pPr>
        <w:pStyle w:val="54"/>
        <w:ind w:firstLine="560"/>
      </w:pPr>
    </w:p>
    <w:p>
      <w:pPr>
        <w:spacing w:line="360" w:lineRule="auto"/>
        <w:ind w:left="1120" w:hanging="1120" w:hangingChars="400"/>
        <w:jc w:val="center"/>
        <w:rPr>
          <w:sz w:val="28"/>
          <w:szCs w:val="28"/>
        </w:rPr>
      </w:pPr>
      <w:r>
        <w:rPr>
          <w:rFonts w:hint="eastAsia"/>
          <w:sz w:val="28"/>
          <w:szCs w:val="28"/>
        </w:rPr>
        <w:t>小型微型企业声明函</w:t>
      </w:r>
    </w:p>
    <w:p>
      <w:pPr>
        <w:spacing w:line="360" w:lineRule="auto"/>
        <w:rPr>
          <w:b/>
          <w:sz w:val="28"/>
          <w:szCs w:val="30"/>
        </w:rPr>
      </w:pPr>
    </w:p>
    <w:p>
      <w:pPr>
        <w:pStyle w:val="54"/>
        <w:ind w:firstLine="560"/>
        <w:rPr>
          <w:szCs w:val="28"/>
        </w:rPr>
      </w:pPr>
      <w:r>
        <w:rPr>
          <w:rFonts w:hint="eastAsia"/>
          <w:szCs w:val="28"/>
        </w:rPr>
        <w:t>本公司郑重声明，根据《政府采购促进中小企业发展暂行办法》(财库[2011]181号)的规定，本公司为       (请填写：小型、微型)企业。即，本公司同时满足以下条件：</w:t>
      </w:r>
    </w:p>
    <w:p>
      <w:pPr>
        <w:pStyle w:val="54"/>
        <w:ind w:firstLine="560"/>
        <w:rPr>
          <w:szCs w:val="28"/>
        </w:rPr>
      </w:pPr>
      <w:r>
        <w:rPr>
          <w:rFonts w:hint="eastAsia"/>
          <w:szCs w:val="28"/>
        </w:rPr>
        <w:t>1、根据《工业和信息化部、国家统计局、国家发展和改革委员会、财政部关于印发中小企业划型标准规定的通知》(工信部联企业[2011]300号)规定的划分标准，本公司为         (请填写：小型、微型)企业。</w:t>
      </w:r>
    </w:p>
    <w:p>
      <w:pPr>
        <w:pStyle w:val="54"/>
        <w:ind w:firstLine="560"/>
        <w:rPr>
          <w:szCs w:val="28"/>
        </w:rPr>
      </w:pPr>
      <w:r>
        <w:rPr>
          <w:rFonts w:hint="eastAsia"/>
          <w:szCs w:val="28"/>
        </w:rPr>
        <w:t>2、本公司参加南京信息职业技术学院采购编号为   的  项目政府采购活动提供本企业制造的货物，由本企业承担工程、提供服务，或者提供其他    (请填写：小型、微型)企业制造的货物。本条所称货物不包括使用大型企业注册商标的货物。</w:t>
      </w:r>
    </w:p>
    <w:p>
      <w:pPr>
        <w:pStyle w:val="54"/>
        <w:ind w:firstLine="560"/>
        <w:rPr>
          <w:szCs w:val="28"/>
        </w:rPr>
      </w:pPr>
      <w:r>
        <w:rPr>
          <w:rFonts w:hint="eastAsia"/>
          <w:szCs w:val="28"/>
        </w:rPr>
        <w:t>3、本公司在本次政府采购活动中提供的小微型企业产品报价合计为人民币（大写）    圆整（￥：     ）。</w:t>
      </w:r>
    </w:p>
    <w:p>
      <w:pPr>
        <w:pStyle w:val="54"/>
        <w:ind w:firstLine="560"/>
        <w:rPr>
          <w:szCs w:val="28"/>
        </w:rPr>
      </w:pPr>
      <w:r>
        <w:rPr>
          <w:rFonts w:hint="eastAsia"/>
          <w:szCs w:val="28"/>
        </w:rPr>
        <w:t>本公司对上述声明的真实性负责。如有虚假，将依法承担相应责任。</w:t>
      </w:r>
    </w:p>
    <w:p>
      <w:pPr>
        <w:pStyle w:val="54"/>
        <w:ind w:firstLine="560"/>
        <w:rPr>
          <w:szCs w:val="28"/>
        </w:rPr>
      </w:pPr>
      <w:r>
        <w:rPr>
          <w:rFonts w:hint="eastAsia"/>
          <w:szCs w:val="28"/>
        </w:rPr>
        <w:t>企业名称(盖章)：</w:t>
      </w:r>
    </w:p>
    <w:p>
      <w:pPr>
        <w:pStyle w:val="54"/>
        <w:ind w:firstLine="560"/>
        <w:rPr>
          <w:szCs w:val="28"/>
        </w:rPr>
      </w:pPr>
      <w:r>
        <w:rPr>
          <w:rFonts w:hint="eastAsia"/>
          <w:szCs w:val="28"/>
        </w:rPr>
        <w:t>日  期：</w:t>
      </w:r>
    </w:p>
    <w:p>
      <w:pPr>
        <w:pStyle w:val="54"/>
        <w:ind w:firstLine="560"/>
        <w:rPr>
          <w:szCs w:val="28"/>
        </w:rPr>
      </w:pPr>
      <w:r>
        <w:rPr>
          <w:rFonts w:hint="eastAsia"/>
          <w:szCs w:val="28"/>
        </w:rPr>
        <w:t>注：供应商如不提供此声明函，价格将不做相应扣除。</w:t>
      </w:r>
    </w:p>
    <w:p>
      <w:pPr>
        <w:pStyle w:val="2"/>
        <w:jc w:val="center"/>
      </w:pPr>
      <w:bookmarkStart w:id="166" w:name="_Toc311047797"/>
      <w:bookmarkStart w:id="167" w:name="_Toc374431644"/>
      <w:bookmarkStart w:id="168" w:name="_Toc311048629"/>
      <w:r>
        <w:rPr>
          <w:rFonts w:hint="eastAsia"/>
        </w:rPr>
        <w:t>二、配置及分项报价表</w:t>
      </w:r>
      <w:bookmarkEnd w:id="166"/>
      <w:bookmarkEnd w:id="167"/>
      <w:bookmarkEnd w:id="168"/>
    </w:p>
    <w:p>
      <w:pPr>
        <w:pStyle w:val="54"/>
        <w:ind w:firstLine="560"/>
      </w:pPr>
      <w:r>
        <w:rPr>
          <w:rFonts w:hint="eastAsia"/>
        </w:rPr>
        <w:t>供应商全称（加盖公章）：</w:t>
      </w:r>
    </w:p>
    <w:p/>
    <w:tbl>
      <w:tblPr>
        <w:tblStyle w:val="2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2992" w:type="dxa"/>
            <w:vAlign w:val="center"/>
          </w:tcPr>
          <w:p>
            <w:pPr>
              <w:pStyle w:val="8"/>
            </w:pPr>
            <w:r>
              <w:rPr>
                <w:rFonts w:hint="eastAsia"/>
              </w:rPr>
              <w:t>1</w:t>
            </w:r>
          </w:p>
        </w:tc>
        <w:tc>
          <w:tcPr>
            <w:tcW w:w="2369" w:type="dxa"/>
            <w:vAlign w:val="center"/>
          </w:tcPr>
          <w:p>
            <w:pPr>
              <w:pStyle w:val="8"/>
            </w:pPr>
            <w:r>
              <w:rPr>
                <w:rFonts w:hint="eastAsia"/>
              </w:rPr>
              <w:t>2</w:t>
            </w:r>
          </w:p>
        </w:tc>
        <w:tc>
          <w:tcPr>
            <w:tcW w:w="1442" w:type="dxa"/>
            <w:vAlign w:val="center"/>
          </w:tcPr>
          <w:p>
            <w:pPr>
              <w:pStyle w:val="8"/>
            </w:pPr>
            <w:r>
              <w:rPr>
                <w:rFonts w:hint="eastAsia"/>
              </w:rPr>
              <w:t>3</w:t>
            </w:r>
          </w:p>
        </w:tc>
        <w:tc>
          <w:tcPr>
            <w:tcW w:w="2781" w:type="dxa"/>
            <w:vAlign w:val="center"/>
          </w:tcPr>
          <w:p>
            <w:pPr>
              <w:pStyle w:val="8"/>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92" w:type="dxa"/>
            <w:vAlign w:val="center"/>
          </w:tcPr>
          <w:p>
            <w:pPr>
              <w:pStyle w:val="8"/>
            </w:pPr>
            <w:r>
              <w:rPr>
                <w:rFonts w:hint="eastAsia"/>
              </w:rPr>
              <w:t>功能模块名称及功能描述</w:t>
            </w:r>
          </w:p>
        </w:tc>
        <w:tc>
          <w:tcPr>
            <w:tcW w:w="2369" w:type="dxa"/>
            <w:vAlign w:val="center"/>
          </w:tcPr>
          <w:p>
            <w:pPr>
              <w:pStyle w:val="8"/>
            </w:pPr>
            <w:r>
              <w:rPr>
                <w:rFonts w:hint="eastAsia"/>
              </w:rPr>
              <w:t>数量</w:t>
            </w:r>
          </w:p>
        </w:tc>
        <w:tc>
          <w:tcPr>
            <w:tcW w:w="1442" w:type="dxa"/>
            <w:vAlign w:val="center"/>
          </w:tcPr>
          <w:p>
            <w:pPr>
              <w:pStyle w:val="8"/>
            </w:pPr>
            <w:r>
              <w:rPr>
                <w:rFonts w:hint="eastAsia"/>
              </w:rPr>
              <w:t>单价</w:t>
            </w:r>
          </w:p>
        </w:tc>
        <w:tc>
          <w:tcPr>
            <w:tcW w:w="2781" w:type="dxa"/>
            <w:vAlign w:val="center"/>
          </w:tcPr>
          <w:p>
            <w:pPr>
              <w:pStyle w:val="8"/>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2992" w:type="dxa"/>
            <w:vAlign w:val="center"/>
          </w:tcPr>
          <w:p>
            <w:pPr>
              <w:pStyle w:val="8"/>
            </w:pPr>
          </w:p>
        </w:tc>
        <w:tc>
          <w:tcPr>
            <w:tcW w:w="2369" w:type="dxa"/>
            <w:vAlign w:val="center"/>
          </w:tcPr>
          <w:p>
            <w:pPr>
              <w:pStyle w:val="8"/>
            </w:pPr>
          </w:p>
        </w:tc>
        <w:tc>
          <w:tcPr>
            <w:tcW w:w="1442" w:type="dxa"/>
            <w:vAlign w:val="center"/>
          </w:tcPr>
          <w:p>
            <w:pPr>
              <w:pStyle w:val="8"/>
            </w:pPr>
          </w:p>
        </w:tc>
        <w:tc>
          <w:tcPr>
            <w:tcW w:w="2781"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2992" w:type="dxa"/>
            <w:vAlign w:val="center"/>
          </w:tcPr>
          <w:p>
            <w:pPr>
              <w:pStyle w:val="8"/>
            </w:pPr>
          </w:p>
        </w:tc>
        <w:tc>
          <w:tcPr>
            <w:tcW w:w="2369" w:type="dxa"/>
            <w:vAlign w:val="center"/>
          </w:tcPr>
          <w:p>
            <w:pPr>
              <w:pStyle w:val="8"/>
            </w:pPr>
          </w:p>
        </w:tc>
        <w:tc>
          <w:tcPr>
            <w:tcW w:w="1442" w:type="dxa"/>
            <w:vAlign w:val="center"/>
          </w:tcPr>
          <w:p>
            <w:pPr>
              <w:pStyle w:val="8"/>
            </w:pPr>
          </w:p>
        </w:tc>
        <w:tc>
          <w:tcPr>
            <w:tcW w:w="2781"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2992" w:type="dxa"/>
            <w:vAlign w:val="center"/>
          </w:tcPr>
          <w:p>
            <w:pPr>
              <w:pStyle w:val="8"/>
            </w:pPr>
          </w:p>
        </w:tc>
        <w:tc>
          <w:tcPr>
            <w:tcW w:w="2369" w:type="dxa"/>
            <w:vAlign w:val="center"/>
          </w:tcPr>
          <w:p>
            <w:pPr>
              <w:pStyle w:val="8"/>
            </w:pPr>
          </w:p>
        </w:tc>
        <w:tc>
          <w:tcPr>
            <w:tcW w:w="1442" w:type="dxa"/>
            <w:vAlign w:val="center"/>
          </w:tcPr>
          <w:p>
            <w:pPr>
              <w:pStyle w:val="8"/>
            </w:pPr>
          </w:p>
        </w:tc>
        <w:tc>
          <w:tcPr>
            <w:tcW w:w="2781"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992" w:type="dxa"/>
            <w:vAlign w:val="center"/>
          </w:tcPr>
          <w:p>
            <w:pPr>
              <w:pStyle w:val="8"/>
            </w:pPr>
          </w:p>
        </w:tc>
        <w:tc>
          <w:tcPr>
            <w:tcW w:w="2369" w:type="dxa"/>
            <w:vAlign w:val="center"/>
          </w:tcPr>
          <w:p>
            <w:pPr>
              <w:pStyle w:val="8"/>
            </w:pPr>
          </w:p>
        </w:tc>
        <w:tc>
          <w:tcPr>
            <w:tcW w:w="1442" w:type="dxa"/>
            <w:vAlign w:val="center"/>
          </w:tcPr>
          <w:p>
            <w:pPr>
              <w:pStyle w:val="8"/>
            </w:pPr>
          </w:p>
        </w:tc>
        <w:tc>
          <w:tcPr>
            <w:tcW w:w="2781"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2992" w:type="dxa"/>
            <w:vAlign w:val="center"/>
          </w:tcPr>
          <w:p>
            <w:pPr>
              <w:pStyle w:val="8"/>
            </w:pPr>
            <w:r>
              <w:rPr>
                <w:rFonts w:hint="eastAsia"/>
              </w:rPr>
              <w:t>合计</w:t>
            </w:r>
          </w:p>
        </w:tc>
        <w:tc>
          <w:tcPr>
            <w:tcW w:w="6592" w:type="dxa"/>
            <w:gridSpan w:val="3"/>
          </w:tcPr>
          <w:p>
            <w:pPr>
              <w:pStyle w:val="8"/>
            </w:pPr>
            <w:r>
              <w:rPr>
                <w:rFonts w:hint="eastAsia"/>
              </w:rPr>
              <w:t xml:space="preserve"> </w:t>
            </w:r>
          </w:p>
          <w:p>
            <w:pPr>
              <w:pStyle w:val="8"/>
            </w:pPr>
            <w:r>
              <w:rPr>
                <w:rFonts w:hint="eastAsia"/>
              </w:rPr>
              <w:t>小写：　　　　　　　　　　　　</w:t>
            </w:r>
          </w:p>
          <w:p>
            <w:pPr>
              <w:pStyle w:val="8"/>
            </w:pPr>
            <w:r>
              <w:rPr>
                <w:rFonts w:hint="eastAsia"/>
              </w:rPr>
              <w:t>大写：</w:t>
            </w:r>
          </w:p>
        </w:tc>
      </w:tr>
    </w:tbl>
    <w:p>
      <w:pPr>
        <w:pStyle w:val="54"/>
        <w:ind w:firstLine="560"/>
      </w:pPr>
      <w:r>
        <w:rPr>
          <w:rFonts w:hint="eastAsia"/>
        </w:rPr>
        <w:t>法定代表人或授权代表签字：</w:t>
      </w:r>
    </w:p>
    <w:p>
      <w:pPr>
        <w:pStyle w:val="54"/>
        <w:ind w:firstLine="560"/>
      </w:pPr>
      <w:r>
        <w:rPr>
          <w:rFonts w:hint="eastAsia"/>
        </w:rPr>
        <w:t>注：</w:t>
      </w:r>
    </w:p>
    <w:p>
      <w:pPr>
        <w:pStyle w:val="54"/>
        <w:ind w:firstLine="560"/>
      </w:pPr>
      <w:r>
        <w:rPr>
          <w:rFonts w:hint="eastAsia"/>
        </w:rPr>
        <w:t>1、第3栏的单价和第4栏的总价均应包括全部设备价、包装费、运输、安装、调试、培训、技术服务、必不可少的部件、标准备件、专用工具等费用，以及已支付或将支付的营业税和其它税费；</w:t>
      </w:r>
    </w:p>
    <w:p>
      <w:pPr>
        <w:pStyle w:val="54"/>
        <w:ind w:firstLine="560"/>
      </w:pPr>
      <w:r>
        <w:rPr>
          <w:rFonts w:hint="eastAsia"/>
        </w:rPr>
        <w:t>如果单价和总价不符时，以单价为准；</w:t>
      </w:r>
    </w:p>
    <w:p>
      <w:pPr>
        <w:pStyle w:val="54"/>
        <w:ind w:firstLine="560"/>
      </w:pPr>
      <w:r>
        <w:rPr>
          <w:rFonts w:hint="eastAsia"/>
        </w:rPr>
        <w:t>请提供本采购文件要求设备详细的配置清单及分项报价，包括标准件及选购件及本项目要求的测试费、验收费等。</w:t>
      </w:r>
    </w:p>
    <w:p>
      <w:pPr>
        <w:pStyle w:val="54"/>
        <w:ind w:firstLine="560"/>
      </w:pPr>
    </w:p>
    <w:p>
      <w:pPr>
        <w:pStyle w:val="54"/>
        <w:ind w:firstLine="198" w:firstLineChars="71"/>
      </w:pPr>
    </w:p>
    <w:p>
      <w:pPr>
        <w:pStyle w:val="2"/>
        <w:jc w:val="center"/>
      </w:pPr>
      <w:bookmarkStart w:id="169" w:name="_Toc311047798"/>
      <w:bookmarkStart w:id="170" w:name="_Toc374431645"/>
      <w:bookmarkStart w:id="171" w:name="_Toc311048630"/>
      <w:r>
        <w:rPr>
          <w:rFonts w:hint="eastAsia"/>
        </w:rPr>
        <w:t>三、供货一览表</w:t>
      </w:r>
      <w:bookmarkEnd w:id="169"/>
      <w:bookmarkEnd w:id="170"/>
      <w:bookmarkEnd w:id="171"/>
    </w:p>
    <w:p>
      <w:pPr>
        <w:pStyle w:val="54"/>
        <w:ind w:firstLine="560"/>
      </w:pPr>
    </w:p>
    <w:p>
      <w:pPr>
        <w:pStyle w:val="54"/>
        <w:ind w:firstLine="560"/>
      </w:pPr>
      <w:r>
        <w:rPr>
          <w:rFonts w:hint="eastAsia"/>
        </w:rPr>
        <w:t>供应商全称（加盖公章）：</w:t>
      </w:r>
    </w:p>
    <w:tbl>
      <w:tblPr>
        <w:tblStyle w:val="2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pStyle w:val="54"/>
              <w:ind w:firstLine="560"/>
            </w:pPr>
            <w:r>
              <w:rPr>
                <w:rFonts w:hint="eastAsia"/>
              </w:rPr>
              <w:t>货物名称</w:t>
            </w:r>
          </w:p>
        </w:tc>
        <w:tc>
          <w:tcPr>
            <w:tcW w:w="1934" w:type="dxa"/>
            <w:vAlign w:val="center"/>
          </w:tcPr>
          <w:p>
            <w:pPr>
              <w:pStyle w:val="54"/>
              <w:ind w:firstLine="198" w:firstLineChars="71"/>
            </w:pPr>
            <w:r>
              <w:rPr>
                <w:rFonts w:hint="eastAsia"/>
              </w:rPr>
              <w:t>型    号</w:t>
            </w:r>
          </w:p>
        </w:tc>
        <w:tc>
          <w:tcPr>
            <w:tcW w:w="1575" w:type="dxa"/>
            <w:vAlign w:val="center"/>
          </w:tcPr>
          <w:p>
            <w:pPr>
              <w:pStyle w:val="54"/>
              <w:ind w:firstLine="198" w:firstLineChars="71"/>
            </w:pPr>
            <w:r>
              <w:rPr>
                <w:rFonts w:hint="eastAsia"/>
              </w:rPr>
              <w:t>产地</w:t>
            </w:r>
          </w:p>
        </w:tc>
        <w:tc>
          <w:tcPr>
            <w:tcW w:w="1680" w:type="dxa"/>
            <w:vAlign w:val="center"/>
          </w:tcPr>
          <w:p>
            <w:pPr>
              <w:pStyle w:val="54"/>
              <w:ind w:firstLine="560"/>
            </w:pPr>
            <w:r>
              <w:rPr>
                <w:rFonts w:hint="eastAsia"/>
              </w:rPr>
              <w:t>数量</w:t>
            </w:r>
          </w:p>
        </w:tc>
        <w:tc>
          <w:tcPr>
            <w:tcW w:w="1365" w:type="dxa"/>
            <w:vAlign w:val="center"/>
          </w:tcPr>
          <w:p>
            <w:pPr>
              <w:pStyle w:val="54"/>
              <w:ind w:firstLine="0" w:firstLineChars="0"/>
            </w:pPr>
            <w:r>
              <w:rPr>
                <w:rFonts w:hint="eastAsi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pStyle w:val="54"/>
              <w:ind w:firstLine="560"/>
            </w:pPr>
          </w:p>
        </w:tc>
        <w:tc>
          <w:tcPr>
            <w:tcW w:w="1934" w:type="dxa"/>
          </w:tcPr>
          <w:p>
            <w:pPr>
              <w:pStyle w:val="54"/>
              <w:ind w:firstLine="560"/>
            </w:pPr>
          </w:p>
        </w:tc>
        <w:tc>
          <w:tcPr>
            <w:tcW w:w="1575" w:type="dxa"/>
          </w:tcPr>
          <w:p>
            <w:pPr>
              <w:pStyle w:val="54"/>
              <w:ind w:firstLine="560"/>
            </w:pPr>
          </w:p>
        </w:tc>
        <w:tc>
          <w:tcPr>
            <w:tcW w:w="1680" w:type="dxa"/>
          </w:tcPr>
          <w:p>
            <w:pPr>
              <w:pStyle w:val="54"/>
              <w:ind w:firstLine="560"/>
            </w:pPr>
          </w:p>
        </w:tc>
        <w:tc>
          <w:tcPr>
            <w:tcW w:w="1365" w:type="dxa"/>
          </w:tcPr>
          <w:p>
            <w:pPr>
              <w:pStyle w:val="54"/>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pStyle w:val="54"/>
              <w:ind w:firstLine="560"/>
            </w:pPr>
          </w:p>
        </w:tc>
        <w:tc>
          <w:tcPr>
            <w:tcW w:w="1934" w:type="dxa"/>
          </w:tcPr>
          <w:p>
            <w:pPr>
              <w:pStyle w:val="54"/>
              <w:ind w:firstLine="560"/>
            </w:pPr>
          </w:p>
        </w:tc>
        <w:tc>
          <w:tcPr>
            <w:tcW w:w="1575" w:type="dxa"/>
          </w:tcPr>
          <w:p>
            <w:pPr>
              <w:pStyle w:val="54"/>
              <w:ind w:firstLine="560"/>
            </w:pPr>
          </w:p>
        </w:tc>
        <w:tc>
          <w:tcPr>
            <w:tcW w:w="1680" w:type="dxa"/>
          </w:tcPr>
          <w:p>
            <w:pPr>
              <w:pStyle w:val="54"/>
              <w:ind w:firstLine="560"/>
            </w:pPr>
          </w:p>
        </w:tc>
        <w:tc>
          <w:tcPr>
            <w:tcW w:w="1365" w:type="dxa"/>
          </w:tcPr>
          <w:p>
            <w:pPr>
              <w:pStyle w:val="54"/>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pStyle w:val="54"/>
              <w:ind w:firstLine="560"/>
            </w:pPr>
          </w:p>
        </w:tc>
        <w:tc>
          <w:tcPr>
            <w:tcW w:w="1934" w:type="dxa"/>
          </w:tcPr>
          <w:p>
            <w:pPr>
              <w:pStyle w:val="54"/>
              <w:ind w:firstLine="560"/>
            </w:pPr>
          </w:p>
        </w:tc>
        <w:tc>
          <w:tcPr>
            <w:tcW w:w="1575" w:type="dxa"/>
          </w:tcPr>
          <w:p>
            <w:pPr>
              <w:pStyle w:val="54"/>
              <w:ind w:firstLine="560"/>
            </w:pPr>
          </w:p>
        </w:tc>
        <w:tc>
          <w:tcPr>
            <w:tcW w:w="1680" w:type="dxa"/>
          </w:tcPr>
          <w:p>
            <w:pPr>
              <w:pStyle w:val="54"/>
              <w:ind w:firstLine="560"/>
            </w:pPr>
          </w:p>
        </w:tc>
        <w:tc>
          <w:tcPr>
            <w:tcW w:w="1365" w:type="dxa"/>
          </w:tcPr>
          <w:p>
            <w:pPr>
              <w:pStyle w:val="54"/>
              <w:ind w:firstLine="560"/>
            </w:pPr>
          </w:p>
        </w:tc>
      </w:tr>
    </w:tbl>
    <w:p>
      <w:pPr>
        <w:pStyle w:val="54"/>
        <w:ind w:firstLine="560"/>
      </w:pPr>
      <w:r>
        <w:rPr>
          <w:rFonts w:hint="eastAsia"/>
        </w:rPr>
        <w:t>法定代表人或授权代表签字：</w:t>
      </w: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54"/>
        <w:ind w:firstLine="560"/>
      </w:pPr>
    </w:p>
    <w:p>
      <w:pPr>
        <w:pStyle w:val="2"/>
        <w:jc w:val="center"/>
      </w:pPr>
      <w:bookmarkStart w:id="172" w:name="_Toc311048631"/>
      <w:bookmarkStart w:id="173" w:name="_Toc311047799"/>
      <w:bookmarkStart w:id="174" w:name="_Toc374431646"/>
      <w:r>
        <w:rPr>
          <w:rFonts w:hint="eastAsia"/>
        </w:rPr>
        <w:t>四、技术参数响应及偏离表</w:t>
      </w:r>
      <w:bookmarkEnd w:id="172"/>
      <w:bookmarkEnd w:id="173"/>
      <w:bookmarkEnd w:id="174"/>
    </w:p>
    <w:p>
      <w:pPr>
        <w:pStyle w:val="54"/>
        <w:ind w:firstLine="560"/>
      </w:pPr>
    </w:p>
    <w:p>
      <w:pPr>
        <w:pStyle w:val="54"/>
        <w:ind w:firstLine="560"/>
      </w:pPr>
      <w:r>
        <w:rPr>
          <w:rFonts w:hint="eastAsia"/>
        </w:rPr>
        <w:t>供应商全称（加盖公章）：        项目名称：</w:t>
      </w:r>
    </w:p>
    <w:tbl>
      <w:tblPr>
        <w:tblStyle w:val="25"/>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3" w:type="dxa"/>
            <w:vAlign w:val="center"/>
          </w:tcPr>
          <w:p>
            <w:pPr>
              <w:pStyle w:val="8"/>
            </w:pPr>
            <w:r>
              <w:rPr>
                <w:rFonts w:hint="eastAsia"/>
              </w:rPr>
              <w:t>序号</w:t>
            </w:r>
          </w:p>
        </w:tc>
        <w:tc>
          <w:tcPr>
            <w:tcW w:w="2852" w:type="dxa"/>
            <w:vAlign w:val="center"/>
          </w:tcPr>
          <w:p>
            <w:pPr>
              <w:pStyle w:val="8"/>
            </w:pPr>
            <w:r>
              <w:rPr>
                <w:rFonts w:hint="eastAsia"/>
              </w:rPr>
              <w:t>采购文件要求</w:t>
            </w:r>
          </w:p>
        </w:tc>
        <w:tc>
          <w:tcPr>
            <w:tcW w:w="2852" w:type="dxa"/>
            <w:vAlign w:val="center"/>
          </w:tcPr>
          <w:p>
            <w:pPr>
              <w:pStyle w:val="8"/>
            </w:pPr>
            <w:r>
              <w:rPr>
                <w:rFonts w:hint="eastAsia"/>
              </w:rPr>
              <w:t>供应商响应</w:t>
            </w:r>
          </w:p>
        </w:tc>
        <w:tc>
          <w:tcPr>
            <w:tcW w:w="1308" w:type="dxa"/>
            <w:vAlign w:val="center"/>
          </w:tcPr>
          <w:p>
            <w:pPr>
              <w:pStyle w:val="8"/>
            </w:pPr>
            <w:r>
              <w:rPr>
                <w:rFonts w:hint="eastAsia"/>
              </w:rPr>
              <w:t>超出</w:t>
            </w:r>
          </w:p>
          <w:p>
            <w:pPr>
              <w:pStyle w:val="8"/>
            </w:pPr>
            <w:r>
              <w:rPr>
                <w:rFonts w:hint="eastAsia"/>
              </w:rPr>
              <w:t>符合或偏离</w:t>
            </w:r>
          </w:p>
        </w:tc>
        <w:tc>
          <w:tcPr>
            <w:tcW w:w="1173" w:type="dxa"/>
            <w:vAlign w:val="center"/>
          </w:tcPr>
          <w:p>
            <w:pPr>
              <w:pStyle w:val="8"/>
            </w:pPr>
            <w:r>
              <w:rPr>
                <w:rFonts w:hint="eastAsia"/>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3" w:type="dxa"/>
          </w:tcPr>
          <w:p>
            <w:pPr>
              <w:pStyle w:val="8"/>
            </w:pPr>
          </w:p>
        </w:tc>
        <w:tc>
          <w:tcPr>
            <w:tcW w:w="2852" w:type="dxa"/>
          </w:tcPr>
          <w:p>
            <w:pPr>
              <w:pStyle w:val="8"/>
            </w:pPr>
          </w:p>
        </w:tc>
        <w:tc>
          <w:tcPr>
            <w:tcW w:w="2852" w:type="dxa"/>
          </w:tcPr>
          <w:p>
            <w:pPr>
              <w:pStyle w:val="8"/>
            </w:pPr>
          </w:p>
        </w:tc>
        <w:tc>
          <w:tcPr>
            <w:tcW w:w="1308" w:type="dxa"/>
          </w:tcPr>
          <w:p>
            <w:pPr>
              <w:pStyle w:val="8"/>
            </w:pPr>
          </w:p>
        </w:tc>
        <w:tc>
          <w:tcPr>
            <w:tcW w:w="1173" w:type="dxa"/>
          </w:tcPr>
          <w:p>
            <w:pPr>
              <w:pStyle w:val="8"/>
            </w:pPr>
          </w:p>
        </w:tc>
      </w:tr>
    </w:tbl>
    <w:p>
      <w:pPr>
        <w:pStyle w:val="54"/>
        <w:ind w:firstLine="560"/>
      </w:pPr>
      <w:r>
        <w:rPr>
          <w:rFonts w:hint="eastAsia"/>
        </w:rPr>
        <w:t>法定代表人或授权代表签字：</w:t>
      </w:r>
    </w:p>
    <w:p>
      <w:pPr>
        <w:pStyle w:val="54"/>
        <w:ind w:firstLine="560"/>
      </w:pPr>
      <w:r>
        <w:rPr>
          <w:rFonts w:hint="eastAsia"/>
        </w:rPr>
        <w:t>注：</w:t>
      </w:r>
    </w:p>
    <w:p>
      <w:pPr>
        <w:pStyle w:val="54"/>
        <w:ind w:firstLine="560"/>
      </w:pPr>
      <w:r>
        <w:rPr>
          <w:rFonts w:hint="eastAsia"/>
        </w:rPr>
        <w:t>1、本表须对照 “项目需求”中的有关功能、性能参数要求逐条填写。若出现缺、漏项或和描述不清的均视为负偏离处理。</w:t>
      </w:r>
    </w:p>
    <w:p>
      <w:pPr>
        <w:pStyle w:val="54"/>
        <w:ind w:firstLine="560"/>
      </w:pPr>
      <w:r>
        <w:rPr>
          <w:rFonts w:hint="eastAsia"/>
        </w:rPr>
        <w:t>2、“偏离情况”栏填与谈判文件相符填“满足”，优于谈判文件要求填“正偏离”，低于谈判文件要求填“负偏离”。</w:t>
      </w:r>
    </w:p>
    <w:p>
      <w:pPr>
        <w:pStyle w:val="54"/>
        <w:ind w:firstLine="560"/>
      </w:pPr>
      <w:r>
        <w:rPr>
          <w:rFonts w:hint="eastAsia"/>
        </w:rPr>
        <w:t>3、行数不够可自行添加。</w:t>
      </w:r>
    </w:p>
    <w:p>
      <w:pPr>
        <w:pStyle w:val="54"/>
        <w:ind w:firstLine="560"/>
      </w:pPr>
    </w:p>
    <w:p>
      <w:pPr>
        <w:pStyle w:val="54"/>
        <w:ind w:firstLine="560"/>
      </w:pPr>
    </w:p>
    <w:p>
      <w:pPr>
        <w:pStyle w:val="2"/>
        <w:jc w:val="center"/>
      </w:pPr>
      <w:bookmarkStart w:id="175" w:name="_Toc374431647"/>
      <w:bookmarkStart w:id="176" w:name="_Toc311048632"/>
      <w:bookmarkStart w:id="177" w:name="_Toc311047800"/>
      <w:r>
        <w:rPr>
          <w:rFonts w:hint="eastAsia"/>
        </w:rPr>
        <w:t>五、商务条款响应及偏离表</w:t>
      </w:r>
      <w:bookmarkEnd w:id="175"/>
      <w:bookmarkEnd w:id="176"/>
      <w:bookmarkEnd w:id="177"/>
    </w:p>
    <w:p>
      <w:pPr>
        <w:pStyle w:val="54"/>
        <w:ind w:firstLine="560"/>
      </w:pPr>
      <w:r>
        <w:rPr>
          <w:rFonts w:hint="eastAsia"/>
        </w:rPr>
        <w:t>供应商全称（加盖公章）：        项目名称：</w:t>
      </w:r>
    </w:p>
    <w:tbl>
      <w:tblPr>
        <w:tblStyle w:val="25"/>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质保期</w:t>
            </w:r>
          </w:p>
        </w:tc>
        <w:tc>
          <w:tcPr>
            <w:tcW w:w="2700" w:type="dxa"/>
            <w:tcBorders>
              <w:top w:val="single" w:color="auto" w:sz="4" w:space="0"/>
              <w:left w:val="single" w:color="auto" w:sz="4" w:space="0"/>
              <w:bottom w:val="single" w:color="auto" w:sz="4" w:space="0"/>
              <w:right w:val="single" w:color="auto" w:sz="4" w:space="0"/>
            </w:tcBorders>
          </w:tcPr>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售后技术服务要求</w:t>
            </w:r>
          </w:p>
        </w:tc>
        <w:tc>
          <w:tcPr>
            <w:tcW w:w="2700" w:type="dxa"/>
            <w:tcBorders>
              <w:top w:val="single" w:color="auto" w:sz="4" w:space="0"/>
              <w:left w:val="single" w:color="auto" w:sz="4" w:space="0"/>
              <w:bottom w:val="single" w:color="auto" w:sz="4" w:space="0"/>
              <w:right w:val="single" w:color="auto" w:sz="4" w:space="0"/>
            </w:tcBorders>
          </w:tcPr>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交货时间</w:t>
            </w:r>
          </w:p>
        </w:tc>
        <w:tc>
          <w:tcPr>
            <w:tcW w:w="2700"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合同签订后     天内</w:t>
            </w: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pPr>
            <w:r>
              <w:rPr>
                <w:rFonts w:hint="eastAsia"/>
              </w:rPr>
              <w:t>交货方式</w:t>
            </w:r>
          </w:p>
        </w:tc>
        <w:tc>
          <w:tcPr>
            <w:tcW w:w="2700" w:type="dxa"/>
            <w:tcBorders>
              <w:top w:val="single" w:color="auto" w:sz="4" w:space="0"/>
              <w:left w:val="single" w:color="auto" w:sz="4" w:space="0"/>
              <w:bottom w:val="single" w:color="auto" w:sz="4" w:space="0"/>
              <w:right w:val="single" w:color="auto" w:sz="4" w:space="0"/>
            </w:tcBorders>
          </w:tcPr>
          <w:p>
            <w:pPr>
              <w:pStyle w:val="8"/>
            </w:pPr>
          </w:p>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pPr>
            <w:r>
              <w:rPr>
                <w:rFonts w:hint="eastAsia"/>
              </w:rPr>
              <w:t>交货地点</w:t>
            </w:r>
          </w:p>
        </w:tc>
        <w:tc>
          <w:tcPr>
            <w:tcW w:w="2700" w:type="dxa"/>
            <w:tcBorders>
              <w:top w:val="single" w:color="auto" w:sz="4" w:space="0"/>
              <w:left w:val="single" w:color="auto" w:sz="4" w:space="0"/>
              <w:bottom w:val="single" w:color="auto" w:sz="4" w:space="0"/>
              <w:right w:val="single" w:color="auto" w:sz="4" w:space="0"/>
            </w:tcBorders>
          </w:tcPr>
          <w:p>
            <w:pPr>
              <w:pStyle w:val="8"/>
            </w:pPr>
          </w:p>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付款方式</w:t>
            </w:r>
          </w:p>
        </w:tc>
        <w:tc>
          <w:tcPr>
            <w:tcW w:w="2700" w:type="dxa"/>
            <w:tcBorders>
              <w:top w:val="single" w:color="auto" w:sz="4" w:space="0"/>
              <w:left w:val="single" w:color="auto" w:sz="4" w:space="0"/>
              <w:bottom w:val="single" w:color="auto" w:sz="4" w:space="0"/>
              <w:right w:val="single" w:color="auto" w:sz="4" w:space="0"/>
            </w:tcBorders>
          </w:tcPr>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pPr>
            <w:r>
              <w:rPr>
                <w:rFonts w:hint="eastAsia"/>
              </w:rPr>
              <w:t>支付货币</w:t>
            </w:r>
          </w:p>
        </w:tc>
        <w:tc>
          <w:tcPr>
            <w:tcW w:w="2700" w:type="dxa"/>
            <w:tcBorders>
              <w:top w:val="single" w:color="auto" w:sz="4" w:space="0"/>
              <w:left w:val="single" w:color="auto" w:sz="4" w:space="0"/>
              <w:bottom w:val="single" w:color="auto" w:sz="4" w:space="0"/>
              <w:right w:val="single" w:color="auto" w:sz="4" w:space="0"/>
            </w:tcBorders>
          </w:tcPr>
          <w:p>
            <w:pPr>
              <w:pStyle w:val="8"/>
            </w:pPr>
          </w:p>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548" w:type="dxa"/>
            <w:tcBorders>
              <w:top w:val="single" w:color="auto" w:sz="4" w:space="0"/>
              <w:left w:val="single" w:color="auto" w:sz="4" w:space="0"/>
              <w:bottom w:val="single" w:color="auto" w:sz="4" w:space="0"/>
              <w:right w:val="single" w:color="auto" w:sz="4" w:space="0"/>
            </w:tcBorders>
          </w:tcPr>
          <w:p>
            <w:pPr>
              <w:pStyle w:val="8"/>
            </w:pPr>
            <w:r>
              <w:rPr>
                <w:rFonts w:hint="eastAsia"/>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tcPr>
          <w:p>
            <w:pPr>
              <w:pStyle w:val="8"/>
              <w:rPr>
                <w:szCs w:val="20"/>
              </w:rPr>
            </w:pPr>
            <w:r>
              <w:rPr>
                <w:rFonts w:hint="eastAsia"/>
              </w:rPr>
              <w:t>其他</w:t>
            </w:r>
          </w:p>
        </w:tc>
        <w:tc>
          <w:tcPr>
            <w:tcW w:w="2700" w:type="dxa"/>
            <w:tcBorders>
              <w:top w:val="single" w:color="auto" w:sz="4" w:space="0"/>
              <w:left w:val="single" w:color="auto" w:sz="4" w:space="0"/>
              <w:bottom w:val="single" w:color="auto" w:sz="4" w:space="0"/>
              <w:right w:val="single" w:color="auto" w:sz="4" w:space="0"/>
            </w:tcBorders>
          </w:tcPr>
          <w:p>
            <w:pPr>
              <w:pStyle w:val="8"/>
            </w:pPr>
          </w:p>
        </w:tc>
        <w:tc>
          <w:tcPr>
            <w:tcW w:w="1260" w:type="dxa"/>
            <w:tcBorders>
              <w:top w:val="single" w:color="auto" w:sz="4" w:space="0"/>
              <w:left w:val="single" w:color="auto" w:sz="4" w:space="0"/>
              <w:bottom w:val="single" w:color="auto" w:sz="4" w:space="0"/>
              <w:right w:val="single" w:color="auto" w:sz="4" w:space="0"/>
            </w:tcBorders>
          </w:tcPr>
          <w:p>
            <w:pPr>
              <w:pStyle w:val="8"/>
            </w:pPr>
          </w:p>
        </w:tc>
        <w:tc>
          <w:tcPr>
            <w:tcW w:w="3020" w:type="dxa"/>
            <w:tcBorders>
              <w:top w:val="single" w:color="auto" w:sz="4" w:space="0"/>
              <w:left w:val="single" w:color="auto" w:sz="4" w:space="0"/>
              <w:bottom w:val="single" w:color="auto" w:sz="4" w:space="0"/>
              <w:right w:val="single" w:color="auto" w:sz="4" w:space="0"/>
            </w:tcBorders>
          </w:tcPr>
          <w:p>
            <w:pPr>
              <w:pStyle w:val="8"/>
            </w:pPr>
          </w:p>
        </w:tc>
      </w:tr>
    </w:tbl>
    <w:p>
      <w:pPr>
        <w:pStyle w:val="54"/>
        <w:ind w:firstLine="560"/>
      </w:pPr>
      <w:r>
        <w:rPr>
          <w:rFonts w:hint="eastAsia"/>
        </w:rPr>
        <w:t>法定代表人或授权代表签字：</w:t>
      </w:r>
    </w:p>
    <w:p>
      <w:pPr>
        <w:pStyle w:val="54"/>
        <w:ind w:firstLine="560"/>
      </w:pPr>
    </w:p>
    <w:bookmarkEnd w:id="151"/>
    <w:bookmarkEnd w:id="152"/>
    <w:bookmarkEnd w:id="153"/>
    <w:p>
      <w:pPr>
        <w:pStyle w:val="54"/>
        <w:ind w:firstLine="0" w:firstLineChars="0"/>
      </w:pPr>
    </w:p>
    <w:p>
      <w:pPr>
        <w:pStyle w:val="2"/>
        <w:jc w:val="center"/>
        <w:rPr>
          <w:sz w:val="38"/>
        </w:rPr>
      </w:pPr>
      <w:bookmarkStart w:id="178" w:name="_Toc311048633"/>
      <w:bookmarkStart w:id="179" w:name="_Toc311047801"/>
      <w:bookmarkStart w:id="180" w:name="_Toc374431648"/>
      <w:r>
        <w:rPr>
          <w:rFonts w:hint="eastAsia"/>
          <w:sz w:val="38"/>
        </w:rPr>
        <w:t>六、谈判响应函(格式)</w:t>
      </w:r>
      <w:bookmarkEnd w:id="178"/>
      <w:bookmarkEnd w:id="179"/>
      <w:bookmarkEnd w:id="180"/>
    </w:p>
    <w:p>
      <w:pPr>
        <w:pStyle w:val="54"/>
        <w:snapToGrid w:val="0"/>
        <w:spacing w:line="360" w:lineRule="auto"/>
        <w:ind w:firstLine="480"/>
        <w:rPr>
          <w:sz w:val="24"/>
        </w:rPr>
      </w:pPr>
      <w:r>
        <w:rPr>
          <w:rFonts w:hint="eastAsia"/>
          <w:sz w:val="24"/>
        </w:rPr>
        <w:t>致：南京信息职业技术学院</w:t>
      </w:r>
    </w:p>
    <w:p>
      <w:pPr>
        <w:pStyle w:val="54"/>
        <w:snapToGrid w:val="0"/>
        <w:spacing w:line="360" w:lineRule="auto"/>
        <w:ind w:firstLine="480"/>
        <w:rPr>
          <w:sz w:val="24"/>
        </w:rPr>
      </w:pPr>
      <w:r>
        <w:rPr>
          <w:rFonts w:hint="eastAsia"/>
          <w:sz w:val="24"/>
        </w:rPr>
        <w:t>根据贵方的NJCIT - 2018155号采购文件，正式授权下述签字人_________ (姓名和职务)代表我方______________（供应商的名称），全权处理本次项目谈判采购的有关事宜。</w:t>
      </w:r>
    </w:p>
    <w:p>
      <w:pPr>
        <w:pStyle w:val="54"/>
        <w:snapToGrid w:val="0"/>
        <w:spacing w:line="360" w:lineRule="auto"/>
        <w:ind w:firstLine="480"/>
        <w:rPr>
          <w:sz w:val="24"/>
        </w:rPr>
      </w:pPr>
      <w:r>
        <w:rPr>
          <w:rFonts w:hint="eastAsia"/>
          <w:sz w:val="24"/>
        </w:rPr>
        <w:t>据此函，__________（签字人）兹宣布同意如下：</w:t>
      </w:r>
    </w:p>
    <w:p>
      <w:pPr>
        <w:pStyle w:val="54"/>
        <w:snapToGrid w:val="0"/>
        <w:spacing w:line="360" w:lineRule="auto"/>
        <w:ind w:firstLine="480"/>
        <w:rPr>
          <w:sz w:val="24"/>
        </w:rPr>
      </w:pPr>
      <w:r>
        <w:rPr>
          <w:rFonts w:hint="eastAsia"/>
          <w:sz w:val="24"/>
        </w:rPr>
        <w:t>1.按采购文件规定的各项要求，向买方提供所需货物与服务。</w:t>
      </w:r>
    </w:p>
    <w:p>
      <w:pPr>
        <w:pStyle w:val="54"/>
        <w:snapToGrid w:val="0"/>
        <w:spacing w:line="360" w:lineRule="auto"/>
        <w:ind w:firstLine="480"/>
        <w:rPr>
          <w:sz w:val="24"/>
        </w:rPr>
      </w:pPr>
      <w:r>
        <w:rPr>
          <w:rFonts w:hint="eastAsia"/>
          <w:sz w:val="24"/>
        </w:rPr>
        <w:t>2.我们已详细审核全部采购文件及其有效补充文件，我们知道必须放弃提出含糊不清或误解问题的权利。</w:t>
      </w:r>
    </w:p>
    <w:p>
      <w:pPr>
        <w:pStyle w:val="54"/>
        <w:snapToGrid w:val="0"/>
        <w:spacing w:line="360" w:lineRule="auto"/>
        <w:ind w:firstLine="480"/>
        <w:rPr>
          <w:sz w:val="24"/>
        </w:rPr>
      </w:pPr>
      <w:r>
        <w:rPr>
          <w:rFonts w:hint="eastAsia"/>
          <w:sz w:val="24"/>
        </w:rPr>
        <w:t>3.我们同意从规定的谈判开始时间起遵循本谈判响应文件，并在规定的谈判有效期期满之前均具有约束力。</w:t>
      </w:r>
    </w:p>
    <w:p>
      <w:pPr>
        <w:pStyle w:val="54"/>
        <w:snapToGrid w:val="0"/>
        <w:spacing w:line="360" w:lineRule="auto"/>
        <w:ind w:firstLine="480"/>
        <w:rPr>
          <w:sz w:val="24"/>
        </w:rPr>
      </w:pPr>
      <w:r>
        <w:rPr>
          <w:rFonts w:hint="eastAsia"/>
          <w:sz w:val="24"/>
        </w:rPr>
        <w:t>4.如果在谈判开始时间后规定的谈判有效期内撤回谈判响应文件或成交后拒绝签订合同，我们的谈判保证金可被贵方没收。</w:t>
      </w:r>
    </w:p>
    <w:p>
      <w:pPr>
        <w:pStyle w:val="54"/>
        <w:snapToGrid w:val="0"/>
        <w:spacing w:line="360" w:lineRule="auto"/>
        <w:ind w:firstLine="480"/>
        <w:rPr>
          <w:sz w:val="24"/>
        </w:rPr>
      </w:pPr>
      <w:r>
        <w:rPr>
          <w:rFonts w:hint="eastAsia"/>
          <w:sz w:val="24"/>
        </w:rPr>
        <w:t>5.同意向贵方提供贵方可能另外要求的与谈判采购有关的任何证据或资料，并保证我方已提供和将要提供的文件是真实的、准确的。</w:t>
      </w:r>
    </w:p>
    <w:p>
      <w:pPr>
        <w:pStyle w:val="54"/>
        <w:snapToGrid w:val="0"/>
        <w:spacing w:line="360" w:lineRule="auto"/>
        <w:ind w:firstLine="480"/>
        <w:rPr>
          <w:sz w:val="24"/>
        </w:rPr>
      </w:pPr>
      <w:r>
        <w:rPr>
          <w:rFonts w:hint="eastAsia"/>
          <w:sz w:val="24"/>
        </w:rPr>
        <w:t>6.一旦我方成交,我方将根据采购文件的规定，严格履行合同的责任和义务,并保证在采购文件规定的时间完成项目，交付买方验收、使用。</w:t>
      </w:r>
    </w:p>
    <w:p>
      <w:pPr>
        <w:pStyle w:val="54"/>
        <w:snapToGrid w:val="0"/>
        <w:spacing w:line="360" w:lineRule="auto"/>
        <w:ind w:firstLine="480"/>
        <w:rPr>
          <w:sz w:val="24"/>
        </w:rPr>
      </w:pPr>
      <w:r>
        <w:rPr>
          <w:rFonts w:hint="eastAsia"/>
          <w:sz w:val="24"/>
        </w:rPr>
        <w:t>7.遵守采购文件中要求的收费项目和标准。</w:t>
      </w:r>
    </w:p>
    <w:p>
      <w:pPr>
        <w:pStyle w:val="54"/>
        <w:snapToGrid w:val="0"/>
        <w:spacing w:line="360" w:lineRule="auto"/>
        <w:ind w:firstLine="480"/>
        <w:rPr>
          <w:sz w:val="24"/>
        </w:rPr>
      </w:pPr>
      <w:r>
        <w:rPr>
          <w:rFonts w:hint="eastAsia"/>
          <w:sz w:val="24"/>
        </w:rPr>
        <w:t>8.与本谈判采购有关的正式通讯地址为：</w:t>
      </w:r>
    </w:p>
    <w:p>
      <w:pPr>
        <w:pStyle w:val="54"/>
        <w:snapToGrid w:val="0"/>
        <w:spacing w:line="360" w:lineRule="auto"/>
        <w:ind w:firstLine="480"/>
        <w:rPr>
          <w:sz w:val="24"/>
        </w:rPr>
      </w:pPr>
      <w:r>
        <w:rPr>
          <w:rFonts w:hint="eastAsia"/>
          <w:sz w:val="24"/>
        </w:rPr>
        <w:t>地 址：                         邮 编：</w:t>
      </w:r>
    </w:p>
    <w:p>
      <w:pPr>
        <w:pStyle w:val="54"/>
        <w:snapToGrid w:val="0"/>
        <w:spacing w:line="360" w:lineRule="auto"/>
        <w:ind w:firstLine="480"/>
        <w:rPr>
          <w:sz w:val="24"/>
        </w:rPr>
      </w:pPr>
      <w:r>
        <w:rPr>
          <w:rFonts w:hint="eastAsia"/>
          <w:sz w:val="24"/>
        </w:rPr>
        <w:t>电 话：                         传 真：</w:t>
      </w:r>
    </w:p>
    <w:p>
      <w:pPr>
        <w:pStyle w:val="54"/>
        <w:snapToGrid w:val="0"/>
        <w:spacing w:line="360" w:lineRule="auto"/>
        <w:ind w:firstLine="480"/>
        <w:rPr>
          <w:sz w:val="24"/>
        </w:rPr>
      </w:pPr>
      <w:r>
        <w:rPr>
          <w:rFonts w:hint="eastAsia"/>
          <w:sz w:val="24"/>
        </w:rPr>
        <w:t xml:space="preserve">供应商开户行：                  账 户： </w:t>
      </w:r>
    </w:p>
    <w:p>
      <w:pPr>
        <w:pStyle w:val="54"/>
        <w:snapToGrid w:val="0"/>
        <w:spacing w:line="360" w:lineRule="auto"/>
        <w:ind w:firstLine="480"/>
        <w:rPr>
          <w:sz w:val="24"/>
        </w:rPr>
      </w:pPr>
      <w:r>
        <w:rPr>
          <w:rFonts w:hint="eastAsia"/>
          <w:sz w:val="24"/>
        </w:rPr>
        <w:t xml:space="preserve">供应商授权代表姓名（签字）： </w:t>
      </w:r>
    </w:p>
    <w:p>
      <w:pPr>
        <w:pStyle w:val="54"/>
        <w:snapToGrid w:val="0"/>
        <w:spacing w:line="360" w:lineRule="auto"/>
        <w:ind w:firstLine="480"/>
        <w:rPr>
          <w:sz w:val="24"/>
        </w:rPr>
      </w:pPr>
      <w:r>
        <w:rPr>
          <w:rFonts w:hint="eastAsia"/>
          <w:sz w:val="24"/>
        </w:rPr>
        <w:t xml:space="preserve">供应商名称（公章）：            </w:t>
      </w:r>
    </w:p>
    <w:p>
      <w:pPr>
        <w:pStyle w:val="54"/>
        <w:snapToGrid w:val="0"/>
        <w:spacing w:line="360" w:lineRule="auto"/>
        <w:ind w:firstLine="480"/>
        <w:rPr>
          <w:sz w:val="24"/>
        </w:rPr>
      </w:pPr>
      <w:r>
        <w:rPr>
          <w:rFonts w:hint="eastAsia"/>
          <w:sz w:val="24"/>
        </w:rPr>
        <w:t>日 期：________年____月____日</w:t>
      </w:r>
    </w:p>
    <w:p>
      <w:pPr>
        <w:pStyle w:val="54"/>
        <w:ind w:firstLine="560"/>
      </w:pPr>
    </w:p>
    <w:p>
      <w:pPr>
        <w:pStyle w:val="54"/>
        <w:ind w:firstLine="0" w:firstLineChars="0"/>
      </w:pPr>
    </w:p>
    <w:p>
      <w:pPr>
        <w:pStyle w:val="54"/>
        <w:ind w:firstLine="0" w:firstLineChars="0"/>
      </w:pPr>
    </w:p>
    <w:sectPr>
      <w:headerReference r:id="rId10" w:type="first"/>
      <w:footerReference r:id="rId13" w:type="first"/>
      <w:headerReference r:id="rId8" w:type="default"/>
      <w:footerReference r:id="rId11" w:type="default"/>
      <w:headerReference r:id="rId9" w:type="even"/>
      <w:footerReference r:id="rId12" w:type="even"/>
      <w:pgSz w:w="11906" w:h="16838"/>
      <w:pgMar w:top="1102" w:right="1588" w:bottom="1418" w:left="1366"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0000000000000000000"/>
    <w:charset w:val="86"/>
    <w:family w:val="script"/>
    <w:pitch w:val="default"/>
    <w:sig w:usb0="00000000" w:usb1="00000000" w:usb2="00000010" w:usb3="00000000" w:csb0="00040000" w:csb1="00000000"/>
  </w:font>
  <w:font w:name="Museo Sans For Dell">
    <w:altName w:val="Times New Roman"/>
    <w:panose1 w:val="00000000000000000000"/>
    <w:charset w:val="00"/>
    <w:family w:val="auto"/>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b/>
        <w:i/>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4"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CZdOPg6gEA&#10;ALcDAAAOAAAAAAAAAAEAIAAAAB4BAABkcnMvZTJvRG9jLnhtbFBLBQYAAAAABgAGAFkBAAB6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0" distR="0" simplePos="0" relativeHeight="251656192" behindDoc="0" locked="0" layoutInCell="0" allowOverlap="1">
              <wp:simplePos x="0" y="0"/>
              <wp:positionH relativeFrom="margin">
                <wp:align>center</wp:align>
              </wp:positionH>
              <wp:positionV relativeFrom="paragraph">
                <wp:posOffset>0</wp:posOffset>
              </wp:positionV>
              <wp:extent cx="55880" cy="131445"/>
              <wp:effectExtent l="0" t="0" r="1270" b="1905"/>
              <wp:wrapSquare wrapText="bothSides"/>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80" cy="131445"/>
                      </a:xfrm>
                      <a:prstGeom prst="rect">
                        <a:avLst/>
                      </a:prstGeom>
                      <a:noFill/>
                      <a:ln>
                        <a:noFill/>
                      </a:ln>
                      <a:effectLst/>
                    </wps:spPr>
                    <wps:txbx>
                      <w:txbxContent>
                        <w:p>
                          <w:pPr>
                            <w:pStyle w:val="15"/>
                            <w:rPr>
                              <w:rStyle w:val="23"/>
                            </w:rPr>
                          </w:pPr>
                          <w:r>
                            <w:fldChar w:fldCharType="begin"/>
                          </w:r>
                          <w:r>
                            <w:rPr>
                              <w:rStyle w:val="23"/>
                            </w:rPr>
                            <w:instrText xml:space="preserve">PAGE  </w:instrText>
                          </w:r>
                          <w:r>
                            <w:fldChar w:fldCharType="separate"/>
                          </w:r>
                          <w:r>
                            <w:rPr>
                              <w:rStyle w:val="23"/>
                            </w:rPr>
                            <w:t>20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0.35pt;width:4.4pt;mso-position-horizontal:center;mso-position-horizontal-relative:margin;mso-wrap-distance-bottom:0pt;mso-wrap-distance-left:0pt;mso-wrap-distance-right:0pt;mso-wrap-distance-top:0pt;z-index:251656192;mso-width-relative:page;mso-height-relative:page;" filled="f" stroked="f" coordsize="21600,21600" o:allowincell="f" o:gfxdata="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94Gvg0gAAAAIBAAAP&#10;AAAAAAAAAAEAIAAAACIAAABkcnMvZG93bnJldi54bWxQSwECFAAUAAAACACHTuJAe6E1mOUBAADC&#10;AwAADgAAAAAAAAABACAAAAAhAQAAZHJzL2Uyb0RvYy54bWxQSwUGAAAAAAYABgBZAQAAeAUAAAAA&#10;">
              <v:fill on="f" focussize="0,0"/>
              <v:stroke on="f"/>
              <v:imagedata o:title=""/>
              <o:lock v:ext="edit" aspectratio="f"/>
              <v:textbox inset="0mm,0mm,0mm,0mm">
                <w:txbxContent>
                  <w:p>
                    <w:pPr>
                      <w:pStyle w:val="15"/>
                      <w:rPr>
                        <w:rStyle w:val="23"/>
                      </w:rPr>
                    </w:pPr>
                    <w:r>
                      <w:fldChar w:fldCharType="begin"/>
                    </w:r>
                    <w:r>
                      <w:rPr>
                        <w:rStyle w:val="23"/>
                      </w:rPr>
                      <w:instrText xml:space="preserve">PAGE  </w:instrText>
                    </w:r>
                    <w:r>
                      <w:fldChar w:fldCharType="separate"/>
                    </w:r>
                    <w:r>
                      <w:rPr>
                        <w:rStyle w:val="23"/>
                      </w:rPr>
                      <w:t>20</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ne2NUvABAAC0AwAADgAAAAAAAAABACAAAAAf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dXLa/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lhGfXrnC0q7d5QYhhcw0J7TrN7dgfzo&#10;mYWbVtitukaEvlWiJn55rMwelI44PoJU/WuoqZHYBUhAQ4MmikdyMEKnPR3Ou1FDYDK2zJfPLy45&#10;k/SUX+TL5WXqIIqp2KEPLxUYFoOSI60+gYv9nQ+RjCimlNjLwkZ3XVp/Z3+7oMR4k8hHviPzMFTD&#10;SYwK6gONgTC6idxPQQv4ibOenFRyS1bnrHtlSYhouinAKaimQFhJhSUPnI3hTRjNuXOoty3hTlJf&#10;k1gbnQaJqo4cTizJG2m+k4+j+R5+p6xff9v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X&#10;Vy2v7wEAALU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I&#10;Sbcb7wEAALQ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江苏省政府南京信息职业技术学院货物竞争性谈判采购文件</w:t>
    </w:r>
  </w:p>
  <w:p>
    <w:pPr>
      <w:pStyle w:val="16"/>
      <w:pBdr>
        <w:bottom w:val="none" w:color="auto" w:sz="0" w:space="0"/>
      </w:pBdr>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9F7D"/>
    <w:multiLevelType w:val="singleLevel"/>
    <w:tmpl w:val="54AB9F7D"/>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C5"/>
    <w:rsid w:val="0001076A"/>
    <w:rsid w:val="000151FD"/>
    <w:rsid w:val="0001708D"/>
    <w:rsid w:val="000176E1"/>
    <w:rsid w:val="00020F84"/>
    <w:rsid w:val="00022793"/>
    <w:rsid w:val="0003333A"/>
    <w:rsid w:val="00041F8F"/>
    <w:rsid w:val="0004495C"/>
    <w:rsid w:val="00047A8B"/>
    <w:rsid w:val="00056610"/>
    <w:rsid w:val="00060851"/>
    <w:rsid w:val="000617E6"/>
    <w:rsid w:val="000648FE"/>
    <w:rsid w:val="00064CB7"/>
    <w:rsid w:val="00070055"/>
    <w:rsid w:val="00070CE5"/>
    <w:rsid w:val="00080151"/>
    <w:rsid w:val="0008238D"/>
    <w:rsid w:val="000864D8"/>
    <w:rsid w:val="000865C5"/>
    <w:rsid w:val="00090176"/>
    <w:rsid w:val="00091D9D"/>
    <w:rsid w:val="00092250"/>
    <w:rsid w:val="000924B3"/>
    <w:rsid w:val="000A14B8"/>
    <w:rsid w:val="000A4498"/>
    <w:rsid w:val="000A53D7"/>
    <w:rsid w:val="000B09FE"/>
    <w:rsid w:val="000B224C"/>
    <w:rsid w:val="000D058D"/>
    <w:rsid w:val="000D2B7E"/>
    <w:rsid w:val="000D3FD4"/>
    <w:rsid w:val="000D65B9"/>
    <w:rsid w:val="000E19C5"/>
    <w:rsid w:val="000F22BF"/>
    <w:rsid w:val="00110D59"/>
    <w:rsid w:val="00117C79"/>
    <w:rsid w:val="00120971"/>
    <w:rsid w:val="00120EA4"/>
    <w:rsid w:val="0012243D"/>
    <w:rsid w:val="00153888"/>
    <w:rsid w:val="00153A88"/>
    <w:rsid w:val="0015430F"/>
    <w:rsid w:val="00155958"/>
    <w:rsid w:val="00157007"/>
    <w:rsid w:val="00164A40"/>
    <w:rsid w:val="0017022B"/>
    <w:rsid w:val="0017041A"/>
    <w:rsid w:val="00173BC6"/>
    <w:rsid w:val="001763C7"/>
    <w:rsid w:val="00181FB0"/>
    <w:rsid w:val="00183392"/>
    <w:rsid w:val="00185EC8"/>
    <w:rsid w:val="001938AC"/>
    <w:rsid w:val="001A0DBE"/>
    <w:rsid w:val="001A3D0F"/>
    <w:rsid w:val="001A3D6E"/>
    <w:rsid w:val="001A525F"/>
    <w:rsid w:val="001C24A7"/>
    <w:rsid w:val="001C3F57"/>
    <w:rsid w:val="001C7F7F"/>
    <w:rsid w:val="001D6478"/>
    <w:rsid w:val="001D757C"/>
    <w:rsid w:val="001E16D1"/>
    <w:rsid w:val="001E549A"/>
    <w:rsid w:val="001E5C08"/>
    <w:rsid w:val="001F25B4"/>
    <w:rsid w:val="001F676F"/>
    <w:rsid w:val="001F6AE2"/>
    <w:rsid w:val="00202631"/>
    <w:rsid w:val="00202787"/>
    <w:rsid w:val="00205580"/>
    <w:rsid w:val="002079CB"/>
    <w:rsid w:val="002112FA"/>
    <w:rsid w:val="00211E50"/>
    <w:rsid w:val="00213A4F"/>
    <w:rsid w:val="00213ABC"/>
    <w:rsid w:val="002206EF"/>
    <w:rsid w:val="00221F87"/>
    <w:rsid w:val="0022425B"/>
    <w:rsid w:val="002266C1"/>
    <w:rsid w:val="00226ED7"/>
    <w:rsid w:val="00231370"/>
    <w:rsid w:val="00242002"/>
    <w:rsid w:val="00243141"/>
    <w:rsid w:val="0024385B"/>
    <w:rsid w:val="002440DF"/>
    <w:rsid w:val="00244F55"/>
    <w:rsid w:val="0024645C"/>
    <w:rsid w:val="0025082E"/>
    <w:rsid w:val="00254A4F"/>
    <w:rsid w:val="00254CB8"/>
    <w:rsid w:val="00255566"/>
    <w:rsid w:val="00256272"/>
    <w:rsid w:val="00257ED4"/>
    <w:rsid w:val="002609B6"/>
    <w:rsid w:val="002651A5"/>
    <w:rsid w:val="00271B16"/>
    <w:rsid w:val="00276349"/>
    <w:rsid w:val="00276CC5"/>
    <w:rsid w:val="00280AA6"/>
    <w:rsid w:val="00290FB0"/>
    <w:rsid w:val="00291299"/>
    <w:rsid w:val="00291A21"/>
    <w:rsid w:val="002A1298"/>
    <w:rsid w:val="002A7026"/>
    <w:rsid w:val="002A779F"/>
    <w:rsid w:val="002B2745"/>
    <w:rsid w:val="002B4AF0"/>
    <w:rsid w:val="002B5FE0"/>
    <w:rsid w:val="002C0806"/>
    <w:rsid w:val="002C152C"/>
    <w:rsid w:val="002D1109"/>
    <w:rsid w:val="002D170D"/>
    <w:rsid w:val="002D21BC"/>
    <w:rsid w:val="002D3036"/>
    <w:rsid w:val="002D4D15"/>
    <w:rsid w:val="002D5A9D"/>
    <w:rsid w:val="002E0720"/>
    <w:rsid w:val="002E1A4E"/>
    <w:rsid w:val="002E2A5B"/>
    <w:rsid w:val="002E34DD"/>
    <w:rsid w:val="002F0699"/>
    <w:rsid w:val="002F134C"/>
    <w:rsid w:val="002F19BF"/>
    <w:rsid w:val="002F4551"/>
    <w:rsid w:val="002F6F1D"/>
    <w:rsid w:val="0030157A"/>
    <w:rsid w:val="00304FEF"/>
    <w:rsid w:val="00305377"/>
    <w:rsid w:val="003132B1"/>
    <w:rsid w:val="003163C0"/>
    <w:rsid w:val="0032552F"/>
    <w:rsid w:val="00326311"/>
    <w:rsid w:val="003268DD"/>
    <w:rsid w:val="00331541"/>
    <w:rsid w:val="003318CA"/>
    <w:rsid w:val="00334811"/>
    <w:rsid w:val="0034562C"/>
    <w:rsid w:val="00347E15"/>
    <w:rsid w:val="00360965"/>
    <w:rsid w:val="0036205C"/>
    <w:rsid w:val="003654F7"/>
    <w:rsid w:val="003754D1"/>
    <w:rsid w:val="0038615E"/>
    <w:rsid w:val="003877A6"/>
    <w:rsid w:val="003879E6"/>
    <w:rsid w:val="003900D2"/>
    <w:rsid w:val="00390A97"/>
    <w:rsid w:val="003952A8"/>
    <w:rsid w:val="003A3E8E"/>
    <w:rsid w:val="003A526F"/>
    <w:rsid w:val="003A554A"/>
    <w:rsid w:val="003A644B"/>
    <w:rsid w:val="003B0604"/>
    <w:rsid w:val="003B0E74"/>
    <w:rsid w:val="003B4D5A"/>
    <w:rsid w:val="003B6313"/>
    <w:rsid w:val="003C15B2"/>
    <w:rsid w:val="003C477C"/>
    <w:rsid w:val="003C552E"/>
    <w:rsid w:val="003C7014"/>
    <w:rsid w:val="003D38A9"/>
    <w:rsid w:val="003D5648"/>
    <w:rsid w:val="003D7F65"/>
    <w:rsid w:val="003E1C5E"/>
    <w:rsid w:val="003F29E8"/>
    <w:rsid w:val="003F5CC7"/>
    <w:rsid w:val="00404CEA"/>
    <w:rsid w:val="00406555"/>
    <w:rsid w:val="00411466"/>
    <w:rsid w:val="004127D7"/>
    <w:rsid w:val="00430F01"/>
    <w:rsid w:val="00431129"/>
    <w:rsid w:val="0043190C"/>
    <w:rsid w:val="004355E7"/>
    <w:rsid w:val="00436452"/>
    <w:rsid w:val="004371D5"/>
    <w:rsid w:val="00451C82"/>
    <w:rsid w:val="00454F45"/>
    <w:rsid w:val="004605EF"/>
    <w:rsid w:val="00461E56"/>
    <w:rsid w:val="0046291D"/>
    <w:rsid w:val="00465438"/>
    <w:rsid w:val="00470550"/>
    <w:rsid w:val="0047059F"/>
    <w:rsid w:val="00472FED"/>
    <w:rsid w:val="004839AC"/>
    <w:rsid w:val="00486A08"/>
    <w:rsid w:val="004B0BB7"/>
    <w:rsid w:val="004B1470"/>
    <w:rsid w:val="004B1C6A"/>
    <w:rsid w:val="004B434E"/>
    <w:rsid w:val="004B465F"/>
    <w:rsid w:val="004B466C"/>
    <w:rsid w:val="004C3350"/>
    <w:rsid w:val="004C5A5B"/>
    <w:rsid w:val="004C7523"/>
    <w:rsid w:val="004D099A"/>
    <w:rsid w:val="004E0D30"/>
    <w:rsid w:val="004E4143"/>
    <w:rsid w:val="004E6715"/>
    <w:rsid w:val="004E7ADD"/>
    <w:rsid w:val="004F5FDB"/>
    <w:rsid w:val="0050358C"/>
    <w:rsid w:val="00504A26"/>
    <w:rsid w:val="0051121B"/>
    <w:rsid w:val="005118A0"/>
    <w:rsid w:val="0051696F"/>
    <w:rsid w:val="005257D4"/>
    <w:rsid w:val="00526146"/>
    <w:rsid w:val="0053167F"/>
    <w:rsid w:val="00536068"/>
    <w:rsid w:val="00554E16"/>
    <w:rsid w:val="005567B5"/>
    <w:rsid w:val="00557AD3"/>
    <w:rsid w:val="005636F9"/>
    <w:rsid w:val="00565880"/>
    <w:rsid w:val="00567D43"/>
    <w:rsid w:val="00570E62"/>
    <w:rsid w:val="005710FD"/>
    <w:rsid w:val="00571650"/>
    <w:rsid w:val="0057395E"/>
    <w:rsid w:val="00574EA6"/>
    <w:rsid w:val="005808C7"/>
    <w:rsid w:val="00582293"/>
    <w:rsid w:val="005844C5"/>
    <w:rsid w:val="00585E2F"/>
    <w:rsid w:val="00586495"/>
    <w:rsid w:val="005A3338"/>
    <w:rsid w:val="005A6DBE"/>
    <w:rsid w:val="005B0354"/>
    <w:rsid w:val="005B3A60"/>
    <w:rsid w:val="005B48AB"/>
    <w:rsid w:val="005B4ECF"/>
    <w:rsid w:val="005B4F62"/>
    <w:rsid w:val="005B7337"/>
    <w:rsid w:val="005C3451"/>
    <w:rsid w:val="005C3718"/>
    <w:rsid w:val="005C601C"/>
    <w:rsid w:val="005D01E2"/>
    <w:rsid w:val="005D0284"/>
    <w:rsid w:val="005D2E0B"/>
    <w:rsid w:val="005D3177"/>
    <w:rsid w:val="005D4B3A"/>
    <w:rsid w:val="005D5E07"/>
    <w:rsid w:val="005E11C8"/>
    <w:rsid w:val="005E7BA9"/>
    <w:rsid w:val="005F058D"/>
    <w:rsid w:val="005F1EF6"/>
    <w:rsid w:val="005F5898"/>
    <w:rsid w:val="005F62CD"/>
    <w:rsid w:val="00601E34"/>
    <w:rsid w:val="00605F8D"/>
    <w:rsid w:val="00616876"/>
    <w:rsid w:val="00623B97"/>
    <w:rsid w:val="00631781"/>
    <w:rsid w:val="00634F33"/>
    <w:rsid w:val="006373AF"/>
    <w:rsid w:val="006520A6"/>
    <w:rsid w:val="00653BF0"/>
    <w:rsid w:val="00654362"/>
    <w:rsid w:val="006550C6"/>
    <w:rsid w:val="00655F91"/>
    <w:rsid w:val="00665BA2"/>
    <w:rsid w:val="0067115F"/>
    <w:rsid w:val="00672B5C"/>
    <w:rsid w:val="006736FE"/>
    <w:rsid w:val="006758E5"/>
    <w:rsid w:val="00675B3B"/>
    <w:rsid w:val="00675FD0"/>
    <w:rsid w:val="00692A92"/>
    <w:rsid w:val="00693499"/>
    <w:rsid w:val="006A2E40"/>
    <w:rsid w:val="006B1198"/>
    <w:rsid w:val="006B72E8"/>
    <w:rsid w:val="006C01A5"/>
    <w:rsid w:val="006C2E9A"/>
    <w:rsid w:val="006C3484"/>
    <w:rsid w:val="006C34F4"/>
    <w:rsid w:val="006D5BBA"/>
    <w:rsid w:val="006D6C3F"/>
    <w:rsid w:val="006D7CCB"/>
    <w:rsid w:val="006E0CA5"/>
    <w:rsid w:val="006E269F"/>
    <w:rsid w:val="006E3947"/>
    <w:rsid w:val="006E7AE6"/>
    <w:rsid w:val="006F017A"/>
    <w:rsid w:val="006F054D"/>
    <w:rsid w:val="006F0940"/>
    <w:rsid w:val="006F0C22"/>
    <w:rsid w:val="007175BD"/>
    <w:rsid w:val="0072246C"/>
    <w:rsid w:val="00724C7D"/>
    <w:rsid w:val="00725A33"/>
    <w:rsid w:val="00726940"/>
    <w:rsid w:val="007301DE"/>
    <w:rsid w:val="00732926"/>
    <w:rsid w:val="0073415D"/>
    <w:rsid w:val="0074158E"/>
    <w:rsid w:val="0074165C"/>
    <w:rsid w:val="00745116"/>
    <w:rsid w:val="007466BC"/>
    <w:rsid w:val="00750F58"/>
    <w:rsid w:val="00751AAC"/>
    <w:rsid w:val="00753D69"/>
    <w:rsid w:val="0077026D"/>
    <w:rsid w:val="00776A85"/>
    <w:rsid w:val="00781621"/>
    <w:rsid w:val="0078258B"/>
    <w:rsid w:val="00784E0F"/>
    <w:rsid w:val="00787543"/>
    <w:rsid w:val="00797AE4"/>
    <w:rsid w:val="007A070A"/>
    <w:rsid w:val="007A0A02"/>
    <w:rsid w:val="007A1CAA"/>
    <w:rsid w:val="007A3DEF"/>
    <w:rsid w:val="007B1512"/>
    <w:rsid w:val="007B2BC9"/>
    <w:rsid w:val="007C0366"/>
    <w:rsid w:val="007C3245"/>
    <w:rsid w:val="007C358B"/>
    <w:rsid w:val="007D39DA"/>
    <w:rsid w:val="007D6E81"/>
    <w:rsid w:val="007E745F"/>
    <w:rsid w:val="007F0E9D"/>
    <w:rsid w:val="0080496C"/>
    <w:rsid w:val="00806C08"/>
    <w:rsid w:val="00810E23"/>
    <w:rsid w:val="00824589"/>
    <w:rsid w:val="00827074"/>
    <w:rsid w:val="00833BB5"/>
    <w:rsid w:val="0084187F"/>
    <w:rsid w:val="008459B9"/>
    <w:rsid w:val="00845BE1"/>
    <w:rsid w:val="00846939"/>
    <w:rsid w:val="0085068A"/>
    <w:rsid w:val="0086166A"/>
    <w:rsid w:val="0086562A"/>
    <w:rsid w:val="00870B79"/>
    <w:rsid w:val="0087326B"/>
    <w:rsid w:val="008748AB"/>
    <w:rsid w:val="00877DB3"/>
    <w:rsid w:val="00892367"/>
    <w:rsid w:val="0089672A"/>
    <w:rsid w:val="00897DB2"/>
    <w:rsid w:val="008A02E2"/>
    <w:rsid w:val="008A168D"/>
    <w:rsid w:val="008A62C7"/>
    <w:rsid w:val="008B6F38"/>
    <w:rsid w:val="008C46E7"/>
    <w:rsid w:val="008C778B"/>
    <w:rsid w:val="008D544F"/>
    <w:rsid w:val="008D58B6"/>
    <w:rsid w:val="008D75B6"/>
    <w:rsid w:val="008E1239"/>
    <w:rsid w:val="008E2EB3"/>
    <w:rsid w:val="008F0C39"/>
    <w:rsid w:val="008F197C"/>
    <w:rsid w:val="008F4157"/>
    <w:rsid w:val="008F4310"/>
    <w:rsid w:val="008F5309"/>
    <w:rsid w:val="00905C73"/>
    <w:rsid w:val="0091298B"/>
    <w:rsid w:val="0091318B"/>
    <w:rsid w:val="0091499C"/>
    <w:rsid w:val="00921FF9"/>
    <w:rsid w:val="00925D29"/>
    <w:rsid w:val="00927496"/>
    <w:rsid w:val="00932001"/>
    <w:rsid w:val="00932A48"/>
    <w:rsid w:val="00933AAC"/>
    <w:rsid w:val="00935E07"/>
    <w:rsid w:val="00935E0A"/>
    <w:rsid w:val="00942BEE"/>
    <w:rsid w:val="00950466"/>
    <w:rsid w:val="0095466F"/>
    <w:rsid w:val="00954FDC"/>
    <w:rsid w:val="0096597A"/>
    <w:rsid w:val="00965B62"/>
    <w:rsid w:val="009769B8"/>
    <w:rsid w:val="009811A0"/>
    <w:rsid w:val="009826A9"/>
    <w:rsid w:val="00984ECC"/>
    <w:rsid w:val="009919A4"/>
    <w:rsid w:val="00992580"/>
    <w:rsid w:val="00994E6C"/>
    <w:rsid w:val="009A2A3C"/>
    <w:rsid w:val="009A353E"/>
    <w:rsid w:val="009A421D"/>
    <w:rsid w:val="009A67B0"/>
    <w:rsid w:val="009A7E6F"/>
    <w:rsid w:val="009B26DA"/>
    <w:rsid w:val="009B3F71"/>
    <w:rsid w:val="009B61BB"/>
    <w:rsid w:val="009C05AB"/>
    <w:rsid w:val="009C7CAB"/>
    <w:rsid w:val="009D0CEF"/>
    <w:rsid w:val="009D0CF8"/>
    <w:rsid w:val="009D3F91"/>
    <w:rsid w:val="009E526A"/>
    <w:rsid w:val="009E68A8"/>
    <w:rsid w:val="009F0B54"/>
    <w:rsid w:val="009F3876"/>
    <w:rsid w:val="009F5ED3"/>
    <w:rsid w:val="009F6E36"/>
    <w:rsid w:val="00A072AF"/>
    <w:rsid w:val="00A11077"/>
    <w:rsid w:val="00A11359"/>
    <w:rsid w:val="00A11977"/>
    <w:rsid w:val="00A1556C"/>
    <w:rsid w:val="00A17A44"/>
    <w:rsid w:val="00A23E8D"/>
    <w:rsid w:val="00A3002B"/>
    <w:rsid w:val="00A30D8E"/>
    <w:rsid w:val="00A31F28"/>
    <w:rsid w:val="00A324FF"/>
    <w:rsid w:val="00A32A9E"/>
    <w:rsid w:val="00A33375"/>
    <w:rsid w:val="00A426C5"/>
    <w:rsid w:val="00A44066"/>
    <w:rsid w:val="00A472B1"/>
    <w:rsid w:val="00A53A30"/>
    <w:rsid w:val="00A54B62"/>
    <w:rsid w:val="00A576C9"/>
    <w:rsid w:val="00A60983"/>
    <w:rsid w:val="00A629E1"/>
    <w:rsid w:val="00A6770A"/>
    <w:rsid w:val="00A706DB"/>
    <w:rsid w:val="00A74696"/>
    <w:rsid w:val="00A74983"/>
    <w:rsid w:val="00A83225"/>
    <w:rsid w:val="00A8549E"/>
    <w:rsid w:val="00A9420E"/>
    <w:rsid w:val="00A971C6"/>
    <w:rsid w:val="00A9744F"/>
    <w:rsid w:val="00AA0F0A"/>
    <w:rsid w:val="00AA2A5E"/>
    <w:rsid w:val="00AA596E"/>
    <w:rsid w:val="00AA610F"/>
    <w:rsid w:val="00AB142D"/>
    <w:rsid w:val="00AB15FB"/>
    <w:rsid w:val="00AB18CC"/>
    <w:rsid w:val="00AB39A1"/>
    <w:rsid w:val="00AB3D3D"/>
    <w:rsid w:val="00AB4245"/>
    <w:rsid w:val="00AB6CE7"/>
    <w:rsid w:val="00AC380B"/>
    <w:rsid w:val="00AD045B"/>
    <w:rsid w:val="00AD088A"/>
    <w:rsid w:val="00AD4C6D"/>
    <w:rsid w:val="00AE27D3"/>
    <w:rsid w:val="00AE2AF4"/>
    <w:rsid w:val="00AE7B50"/>
    <w:rsid w:val="00AF1B36"/>
    <w:rsid w:val="00AF6223"/>
    <w:rsid w:val="00B04AFE"/>
    <w:rsid w:val="00B12BEA"/>
    <w:rsid w:val="00B16EF0"/>
    <w:rsid w:val="00B178A2"/>
    <w:rsid w:val="00B203E8"/>
    <w:rsid w:val="00B24475"/>
    <w:rsid w:val="00B3625A"/>
    <w:rsid w:val="00B40AD2"/>
    <w:rsid w:val="00B4280E"/>
    <w:rsid w:val="00B4614F"/>
    <w:rsid w:val="00B55253"/>
    <w:rsid w:val="00B61863"/>
    <w:rsid w:val="00B618F3"/>
    <w:rsid w:val="00B66AFA"/>
    <w:rsid w:val="00B76A2B"/>
    <w:rsid w:val="00B7788A"/>
    <w:rsid w:val="00B86F4E"/>
    <w:rsid w:val="00B87197"/>
    <w:rsid w:val="00B92916"/>
    <w:rsid w:val="00B945F0"/>
    <w:rsid w:val="00B9527A"/>
    <w:rsid w:val="00B9684D"/>
    <w:rsid w:val="00BA2C90"/>
    <w:rsid w:val="00BA4659"/>
    <w:rsid w:val="00BB09DD"/>
    <w:rsid w:val="00BB5948"/>
    <w:rsid w:val="00BC4406"/>
    <w:rsid w:val="00C00F84"/>
    <w:rsid w:val="00C0114F"/>
    <w:rsid w:val="00C03B70"/>
    <w:rsid w:val="00C04BC7"/>
    <w:rsid w:val="00C1238E"/>
    <w:rsid w:val="00C204C7"/>
    <w:rsid w:val="00C24047"/>
    <w:rsid w:val="00C27846"/>
    <w:rsid w:val="00C30C1E"/>
    <w:rsid w:val="00C31940"/>
    <w:rsid w:val="00C32E67"/>
    <w:rsid w:val="00C33B46"/>
    <w:rsid w:val="00C358D7"/>
    <w:rsid w:val="00C419CE"/>
    <w:rsid w:val="00C44284"/>
    <w:rsid w:val="00C47D38"/>
    <w:rsid w:val="00C568A2"/>
    <w:rsid w:val="00C6022A"/>
    <w:rsid w:val="00C608FA"/>
    <w:rsid w:val="00C61A72"/>
    <w:rsid w:val="00C6505E"/>
    <w:rsid w:val="00C6791E"/>
    <w:rsid w:val="00C7278D"/>
    <w:rsid w:val="00C7661C"/>
    <w:rsid w:val="00C77C55"/>
    <w:rsid w:val="00C80D47"/>
    <w:rsid w:val="00C82BFD"/>
    <w:rsid w:val="00C83E1F"/>
    <w:rsid w:val="00C850ED"/>
    <w:rsid w:val="00C928EE"/>
    <w:rsid w:val="00C93BE6"/>
    <w:rsid w:val="00C946E8"/>
    <w:rsid w:val="00C96539"/>
    <w:rsid w:val="00C966C0"/>
    <w:rsid w:val="00C96EB7"/>
    <w:rsid w:val="00CA374C"/>
    <w:rsid w:val="00CA4B5F"/>
    <w:rsid w:val="00CA7F74"/>
    <w:rsid w:val="00CB06DD"/>
    <w:rsid w:val="00CB0C9B"/>
    <w:rsid w:val="00CB1764"/>
    <w:rsid w:val="00CC14AB"/>
    <w:rsid w:val="00CE4884"/>
    <w:rsid w:val="00CE730A"/>
    <w:rsid w:val="00CF441D"/>
    <w:rsid w:val="00CF509C"/>
    <w:rsid w:val="00CF6425"/>
    <w:rsid w:val="00CF75B2"/>
    <w:rsid w:val="00D04859"/>
    <w:rsid w:val="00D13A2E"/>
    <w:rsid w:val="00D14E11"/>
    <w:rsid w:val="00D17543"/>
    <w:rsid w:val="00D23851"/>
    <w:rsid w:val="00D25C82"/>
    <w:rsid w:val="00D25D34"/>
    <w:rsid w:val="00D26896"/>
    <w:rsid w:val="00D31BDA"/>
    <w:rsid w:val="00D37648"/>
    <w:rsid w:val="00D41C28"/>
    <w:rsid w:val="00D42A0C"/>
    <w:rsid w:val="00D4595B"/>
    <w:rsid w:val="00D47F74"/>
    <w:rsid w:val="00D54F2F"/>
    <w:rsid w:val="00D63020"/>
    <w:rsid w:val="00D6533A"/>
    <w:rsid w:val="00D71B05"/>
    <w:rsid w:val="00D71DB4"/>
    <w:rsid w:val="00D7258C"/>
    <w:rsid w:val="00D74189"/>
    <w:rsid w:val="00D761CE"/>
    <w:rsid w:val="00D811FD"/>
    <w:rsid w:val="00D853F7"/>
    <w:rsid w:val="00D90352"/>
    <w:rsid w:val="00D92BC0"/>
    <w:rsid w:val="00D9404D"/>
    <w:rsid w:val="00DA32B7"/>
    <w:rsid w:val="00DB06BF"/>
    <w:rsid w:val="00DB24E5"/>
    <w:rsid w:val="00DB54DA"/>
    <w:rsid w:val="00DB6C8A"/>
    <w:rsid w:val="00DC6B19"/>
    <w:rsid w:val="00DD32A4"/>
    <w:rsid w:val="00DD6161"/>
    <w:rsid w:val="00DE3752"/>
    <w:rsid w:val="00DE73E4"/>
    <w:rsid w:val="00DE7750"/>
    <w:rsid w:val="00DF4BDB"/>
    <w:rsid w:val="00DF4CA0"/>
    <w:rsid w:val="00DF6DDA"/>
    <w:rsid w:val="00E00BF0"/>
    <w:rsid w:val="00E00FB9"/>
    <w:rsid w:val="00E02E6C"/>
    <w:rsid w:val="00E077CF"/>
    <w:rsid w:val="00E07C1C"/>
    <w:rsid w:val="00E106CF"/>
    <w:rsid w:val="00E16FE0"/>
    <w:rsid w:val="00E21982"/>
    <w:rsid w:val="00E232D5"/>
    <w:rsid w:val="00E240AC"/>
    <w:rsid w:val="00E26802"/>
    <w:rsid w:val="00E307BA"/>
    <w:rsid w:val="00E35188"/>
    <w:rsid w:val="00E4037E"/>
    <w:rsid w:val="00E4331B"/>
    <w:rsid w:val="00E44716"/>
    <w:rsid w:val="00E46843"/>
    <w:rsid w:val="00E5571E"/>
    <w:rsid w:val="00E55837"/>
    <w:rsid w:val="00E61E2F"/>
    <w:rsid w:val="00E67876"/>
    <w:rsid w:val="00E70C69"/>
    <w:rsid w:val="00E73A38"/>
    <w:rsid w:val="00E85855"/>
    <w:rsid w:val="00E92BE5"/>
    <w:rsid w:val="00E9347E"/>
    <w:rsid w:val="00EA00FC"/>
    <w:rsid w:val="00EB4119"/>
    <w:rsid w:val="00ED5DEA"/>
    <w:rsid w:val="00ED7F3E"/>
    <w:rsid w:val="00EE0581"/>
    <w:rsid w:val="00EE0AF6"/>
    <w:rsid w:val="00EE2A3F"/>
    <w:rsid w:val="00EE4A12"/>
    <w:rsid w:val="00EF33D0"/>
    <w:rsid w:val="00EF3F23"/>
    <w:rsid w:val="00EF5F17"/>
    <w:rsid w:val="00EF5FF3"/>
    <w:rsid w:val="00EF610F"/>
    <w:rsid w:val="00EF6748"/>
    <w:rsid w:val="00F002E8"/>
    <w:rsid w:val="00F07238"/>
    <w:rsid w:val="00F11220"/>
    <w:rsid w:val="00F14D66"/>
    <w:rsid w:val="00F15E70"/>
    <w:rsid w:val="00F17753"/>
    <w:rsid w:val="00F24696"/>
    <w:rsid w:val="00F31591"/>
    <w:rsid w:val="00F41B1B"/>
    <w:rsid w:val="00F43ADA"/>
    <w:rsid w:val="00F43D35"/>
    <w:rsid w:val="00F462E9"/>
    <w:rsid w:val="00F4676E"/>
    <w:rsid w:val="00F515AC"/>
    <w:rsid w:val="00F539C7"/>
    <w:rsid w:val="00F568A2"/>
    <w:rsid w:val="00F572AB"/>
    <w:rsid w:val="00F6318E"/>
    <w:rsid w:val="00F634DD"/>
    <w:rsid w:val="00F714EB"/>
    <w:rsid w:val="00F72B43"/>
    <w:rsid w:val="00F73833"/>
    <w:rsid w:val="00F855A8"/>
    <w:rsid w:val="00F97C1B"/>
    <w:rsid w:val="00FA0F18"/>
    <w:rsid w:val="00FA2A95"/>
    <w:rsid w:val="00FA4193"/>
    <w:rsid w:val="00FA69B9"/>
    <w:rsid w:val="00FA6C95"/>
    <w:rsid w:val="00FA7D67"/>
    <w:rsid w:val="00FB1F66"/>
    <w:rsid w:val="00FB3EB0"/>
    <w:rsid w:val="00FB6484"/>
    <w:rsid w:val="00FB6DC3"/>
    <w:rsid w:val="00FB7003"/>
    <w:rsid w:val="00FB7BDF"/>
    <w:rsid w:val="00FB7C2C"/>
    <w:rsid w:val="00FC3374"/>
    <w:rsid w:val="00FC33A6"/>
    <w:rsid w:val="00FC4796"/>
    <w:rsid w:val="00FC5279"/>
    <w:rsid w:val="00FC7AA0"/>
    <w:rsid w:val="00FD04A3"/>
    <w:rsid w:val="00FD65A2"/>
    <w:rsid w:val="00FE2319"/>
    <w:rsid w:val="00FE43D2"/>
    <w:rsid w:val="00FE448D"/>
    <w:rsid w:val="00FE5119"/>
    <w:rsid w:val="00FE5697"/>
    <w:rsid w:val="00FE7673"/>
    <w:rsid w:val="00FF0470"/>
    <w:rsid w:val="00FF0B06"/>
    <w:rsid w:val="00FF34B8"/>
    <w:rsid w:val="00FF4CBB"/>
    <w:rsid w:val="00FF7016"/>
    <w:rsid w:val="035A360D"/>
    <w:rsid w:val="15811BD4"/>
    <w:rsid w:val="27A14592"/>
    <w:rsid w:val="3204479C"/>
    <w:rsid w:val="385A42BE"/>
    <w:rsid w:val="43ED7D45"/>
    <w:rsid w:val="4FA67535"/>
    <w:rsid w:val="51F81588"/>
    <w:rsid w:val="5C1F261D"/>
    <w:rsid w:val="5C435D6C"/>
    <w:rsid w:val="61BB2FCE"/>
    <w:rsid w:val="6EF67A1A"/>
    <w:rsid w:val="79B4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Lines/>
      <w:pageBreakBefore/>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8"/>
    <w:qFormat/>
    <w:uiPriority w:val="0"/>
    <w:pPr>
      <w:keepNext/>
      <w:keepLines/>
      <w:spacing w:before="260" w:after="260" w:line="416" w:lineRule="auto"/>
      <w:ind w:firstLine="200" w:firstLineChars="200"/>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4"/>
    <w:qFormat/>
    <w:uiPriority w:val="0"/>
    <w:pPr>
      <w:spacing w:line="360" w:lineRule="auto"/>
      <w:ind w:firstLine="420" w:firstLineChars="200"/>
    </w:pPr>
    <w:rPr>
      <w:sz w:val="24"/>
    </w:r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pPr>
  </w:style>
  <w:style w:type="paragraph" w:styleId="9">
    <w:name w:val="List Bullet"/>
    <w:basedOn w:val="1"/>
    <w:unhideWhenUsed/>
    <w:qFormat/>
    <w:uiPriority w:val="0"/>
    <w:pPr>
      <w:tabs>
        <w:tab w:val="left" w:pos="360"/>
      </w:tabs>
    </w:pPr>
    <w:rPr>
      <w:rFonts w:ascii="Calibri" w:hAnsi="Calibri"/>
      <w:szCs w:val="22"/>
    </w:rPr>
  </w:style>
  <w:style w:type="paragraph" w:styleId="10">
    <w:name w:val="Document Map"/>
    <w:basedOn w:val="1"/>
    <w:semiHidden/>
    <w:qFormat/>
    <w:uiPriority w:val="0"/>
    <w:pPr>
      <w:shd w:val="clear" w:color="auto" w:fill="000080"/>
    </w:pPr>
  </w:style>
  <w:style w:type="paragraph" w:styleId="11">
    <w:name w:val="Body Text Indent"/>
    <w:basedOn w:val="1"/>
    <w:qFormat/>
    <w:uiPriority w:val="0"/>
    <w:pPr>
      <w:ind w:firstLine="645"/>
    </w:pPr>
    <w:rPr>
      <w:rFonts w:ascii="楷体_GB2312" w:eastAsia="楷体_GB2312"/>
      <w:sz w:val="32"/>
      <w:szCs w:val="32"/>
    </w:rPr>
  </w:style>
  <w:style w:type="paragraph" w:styleId="12">
    <w:name w:val="toc 3"/>
    <w:basedOn w:val="1"/>
    <w:next w:val="1"/>
    <w:semiHidden/>
    <w:qFormat/>
    <w:uiPriority w:val="0"/>
    <w:pPr>
      <w:ind w:left="840" w:leftChars="400"/>
    </w:pPr>
  </w:style>
  <w:style w:type="paragraph" w:styleId="13">
    <w:name w:val="Plain Text"/>
    <w:basedOn w:val="1"/>
    <w:link w:val="39"/>
    <w:qFormat/>
    <w:uiPriority w:val="0"/>
    <w:rPr>
      <w:rFonts w:ascii="宋体" w:hAnsi="Courier New" w:cs="Courier New"/>
    </w:rPr>
  </w:style>
  <w:style w:type="paragraph" w:styleId="14">
    <w:name w:val="Balloon Text"/>
    <w:basedOn w:val="1"/>
    <w:semiHidden/>
    <w:qFormat/>
    <w:uiPriority w:val="0"/>
    <w:rPr>
      <w:sz w:val="18"/>
      <w:szCs w:val="18"/>
    </w:rPr>
  </w:style>
  <w:style w:type="paragraph" w:styleId="15">
    <w:name w:val="footer"/>
    <w:basedOn w:val="1"/>
    <w:link w:val="42"/>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semiHidden/>
    <w:qFormat/>
    <w:uiPriority w:val="0"/>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jc w:val="center"/>
      <w:outlineLvl w:val="0"/>
    </w:pPr>
    <w:rPr>
      <w:rFonts w:ascii="Arial" w:hAnsi="Arial" w:eastAsia="华文中宋" w:cs="Arial"/>
      <w:b/>
      <w:bCs/>
      <w:sz w:val="36"/>
      <w:szCs w:val="32"/>
    </w:rPr>
  </w:style>
  <w:style w:type="character" w:styleId="23">
    <w:name w:val="page number"/>
    <w:basedOn w:val="22"/>
    <w:qFormat/>
    <w:uiPriority w:val="0"/>
  </w:style>
  <w:style w:type="character" w:styleId="24">
    <w:name w:val="Hyperlink"/>
    <w:qFormat/>
    <w:uiPriority w:val="0"/>
    <w:rPr>
      <w:color w:val="0000FF"/>
      <w:u w:val="singl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已访问的超链接1"/>
    <w:qFormat/>
    <w:uiPriority w:val="0"/>
    <w:rPr>
      <w:color w:val="800080"/>
      <w:u w:val="single"/>
    </w:rPr>
  </w:style>
  <w:style w:type="character" w:customStyle="1" w:styleId="28">
    <w:name w:val="标题 3 Char"/>
    <w:link w:val="4"/>
    <w:qFormat/>
    <w:uiPriority w:val="0"/>
    <w:rPr>
      <w:b/>
      <w:bCs/>
      <w:kern w:val="2"/>
      <w:sz w:val="32"/>
      <w:szCs w:val="32"/>
    </w:rPr>
  </w:style>
  <w:style w:type="character" w:customStyle="1" w:styleId="29">
    <w:name w:val="正文B Char Char"/>
    <w:link w:val="30"/>
    <w:qFormat/>
    <w:uiPriority w:val="0"/>
    <w:rPr>
      <w:rFonts w:eastAsia="楷体_GB2312"/>
      <w:spacing w:val="8"/>
      <w:sz w:val="28"/>
      <w:lang w:val="en-US" w:eastAsia="zh-CN" w:bidi="ar-SA"/>
    </w:rPr>
  </w:style>
  <w:style w:type="paragraph" w:customStyle="1" w:styleId="30">
    <w:name w:val="正文B"/>
    <w:link w:val="29"/>
    <w:qFormat/>
    <w:uiPriority w:val="0"/>
    <w:pPr>
      <w:spacing w:line="390" w:lineRule="exact"/>
    </w:pPr>
    <w:rPr>
      <w:rFonts w:ascii="Times New Roman" w:hAnsi="Times New Roman" w:eastAsia="楷体_GB2312" w:cs="Times New Roman"/>
      <w:spacing w:val="8"/>
      <w:sz w:val="28"/>
      <w:lang w:val="en-US" w:eastAsia="zh-CN" w:bidi="ar-SA"/>
    </w:rPr>
  </w:style>
  <w:style w:type="character" w:customStyle="1" w:styleId="31">
    <w:name w:val="shadow11"/>
    <w:qFormat/>
    <w:uiPriority w:val="0"/>
    <w:rPr>
      <w:color w:val="000000"/>
      <w:sz w:val="21"/>
    </w:rPr>
  </w:style>
  <w:style w:type="character" w:customStyle="1" w:styleId="32">
    <w:name w:val="正文文本 Char Char"/>
    <w:link w:val="33"/>
    <w:qFormat/>
    <w:uiPriority w:val="0"/>
    <w:rPr>
      <w:rFonts w:ascii="楷体_GB2312" w:hAnsi="Arial" w:eastAsia="楷体_GB2312"/>
      <w:sz w:val="28"/>
      <w:szCs w:val="28"/>
      <w:lang w:bidi="ar-SA"/>
    </w:rPr>
  </w:style>
  <w:style w:type="paragraph" w:customStyle="1" w:styleId="33">
    <w:name w:val="正文文本1"/>
    <w:basedOn w:val="1"/>
    <w:link w:val="32"/>
    <w:qFormat/>
    <w:uiPriority w:val="0"/>
    <w:pPr>
      <w:spacing w:line="360" w:lineRule="auto"/>
      <w:ind w:firstLine="200" w:firstLineChars="200"/>
    </w:pPr>
    <w:rPr>
      <w:rFonts w:ascii="楷体_GB2312" w:hAnsi="Arial" w:eastAsia="楷体_GB2312"/>
      <w:kern w:val="0"/>
      <w:sz w:val="28"/>
      <w:szCs w:val="28"/>
    </w:rPr>
  </w:style>
  <w:style w:type="character" w:customStyle="1" w:styleId="34">
    <w:name w:val="正文缩进 Char"/>
    <w:link w:val="5"/>
    <w:qFormat/>
    <w:uiPriority w:val="0"/>
    <w:rPr>
      <w:rFonts w:eastAsia="宋体"/>
      <w:kern w:val="2"/>
      <w:sz w:val="24"/>
      <w:szCs w:val="21"/>
      <w:lang w:val="en-US" w:eastAsia="zh-CN" w:bidi="ar-SA"/>
    </w:rPr>
  </w:style>
  <w:style w:type="character" w:customStyle="1" w:styleId="35">
    <w:name w:val="我的正文 Char"/>
    <w:link w:val="36"/>
    <w:qFormat/>
    <w:uiPriority w:val="0"/>
    <w:rPr>
      <w:rFonts w:eastAsia="仿宋_GB2312"/>
      <w:kern w:val="2"/>
      <w:sz w:val="24"/>
      <w:lang w:bidi="ar-SA"/>
    </w:rPr>
  </w:style>
  <w:style w:type="paragraph" w:customStyle="1" w:styleId="36">
    <w:name w:val="我的正文"/>
    <w:basedOn w:val="1"/>
    <w:link w:val="35"/>
    <w:qFormat/>
    <w:uiPriority w:val="0"/>
    <w:pPr>
      <w:spacing w:afterLines="100" w:line="360" w:lineRule="auto"/>
      <w:ind w:firstLine="480" w:firstLineChars="200"/>
    </w:pPr>
    <w:rPr>
      <w:rFonts w:eastAsia="仿宋_GB2312"/>
      <w:sz w:val="24"/>
      <w:szCs w:val="20"/>
    </w:rPr>
  </w:style>
  <w:style w:type="character" w:customStyle="1" w:styleId="37">
    <w:name w:val="样式 样式 小四 行距: 1.5 倍行距 首行缩进:  2 字符 + +中文正文 Char Char"/>
    <w:link w:val="38"/>
    <w:qFormat/>
    <w:uiPriority w:val="0"/>
    <w:rPr>
      <w:rFonts w:ascii="宋体" w:hAnsi="宋体" w:eastAsia="宋体" w:cs="宋体"/>
      <w:kern w:val="2"/>
      <w:sz w:val="24"/>
      <w:lang w:val="en-US" w:eastAsia="zh-CN" w:bidi="ar-SA"/>
    </w:rPr>
  </w:style>
  <w:style w:type="paragraph" w:customStyle="1" w:styleId="38">
    <w:name w:val="样式 样式 小四 行距: 1.5 倍行距 首行缩进:  2 字符 + +中文正文"/>
    <w:basedOn w:val="1"/>
    <w:link w:val="37"/>
    <w:qFormat/>
    <w:uiPriority w:val="0"/>
    <w:pPr>
      <w:spacing w:line="360" w:lineRule="auto"/>
      <w:ind w:firstLine="480" w:firstLineChars="200"/>
    </w:pPr>
    <w:rPr>
      <w:rFonts w:ascii="宋体" w:hAnsi="宋体" w:cs="宋体"/>
      <w:sz w:val="24"/>
      <w:szCs w:val="20"/>
    </w:rPr>
  </w:style>
  <w:style w:type="character" w:customStyle="1" w:styleId="39">
    <w:name w:val="纯文本 Char"/>
    <w:link w:val="13"/>
    <w:qFormat/>
    <w:uiPriority w:val="0"/>
    <w:rPr>
      <w:rFonts w:ascii="宋体" w:hAnsi="Courier New" w:eastAsia="宋体" w:cs="Courier New"/>
      <w:kern w:val="2"/>
      <w:sz w:val="21"/>
      <w:szCs w:val="21"/>
      <w:lang w:val="en-US" w:eastAsia="zh-CN" w:bidi="ar-SA"/>
    </w:rPr>
  </w:style>
  <w:style w:type="character" w:customStyle="1" w:styleId="40">
    <w:name w:val="表格标题 Char"/>
    <w:link w:val="41"/>
    <w:qFormat/>
    <w:uiPriority w:val="0"/>
    <w:rPr>
      <w:rFonts w:eastAsia="宋体"/>
      <w:b/>
      <w:szCs w:val="24"/>
      <w:lang w:bidi="ar-SA"/>
    </w:rPr>
  </w:style>
  <w:style w:type="paragraph" w:customStyle="1" w:styleId="41">
    <w:name w:val="表格标题"/>
    <w:basedOn w:val="1"/>
    <w:link w:val="40"/>
    <w:qFormat/>
    <w:uiPriority w:val="0"/>
    <w:pPr>
      <w:jc w:val="center"/>
    </w:pPr>
    <w:rPr>
      <w:b/>
      <w:kern w:val="0"/>
      <w:sz w:val="20"/>
      <w:szCs w:val="24"/>
    </w:rPr>
  </w:style>
  <w:style w:type="character" w:customStyle="1" w:styleId="42">
    <w:name w:val="页脚 Char"/>
    <w:link w:val="15"/>
    <w:qFormat/>
    <w:uiPriority w:val="0"/>
    <w:rPr>
      <w:rFonts w:eastAsia="宋体"/>
      <w:kern w:val="2"/>
      <w:sz w:val="18"/>
      <w:szCs w:val="18"/>
      <w:lang w:val="en-US" w:eastAsia="zh-CN" w:bidi="ar-SA"/>
    </w:rPr>
  </w:style>
  <w:style w:type="character" w:customStyle="1" w:styleId="43">
    <w:name w:val="标题 4 Char"/>
    <w:link w:val="6"/>
    <w:semiHidden/>
    <w:qFormat/>
    <w:uiPriority w:val="0"/>
    <w:rPr>
      <w:rFonts w:ascii="Cambria" w:hAnsi="Cambria" w:eastAsia="宋体"/>
      <w:b/>
      <w:bCs/>
      <w:kern w:val="2"/>
      <w:sz w:val="28"/>
      <w:szCs w:val="28"/>
      <w:lang w:val="en-US" w:eastAsia="zh-CN" w:bidi="ar-SA"/>
    </w:rPr>
  </w:style>
  <w:style w:type="character" w:customStyle="1" w:styleId="44">
    <w:name w:val="Char Char15"/>
    <w:qFormat/>
    <w:uiPriority w:val="0"/>
    <w:rPr>
      <w:rFonts w:ascii="宋体" w:hAnsi="Courier New" w:cs="Courier New"/>
      <w:kern w:val="2"/>
      <w:sz w:val="24"/>
      <w:szCs w:val="21"/>
    </w:rPr>
  </w:style>
  <w:style w:type="character" w:customStyle="1" w:styleId="45">
    <w:name w:val="二级目录 Char Char"/>
    <w:link w:val="46"/>
    <w:qFormat/>
    <w:uiPriority w:val="0"/>
    <w:rPr>
      <w:rFonts w:eastAsia="Times New Roman"/>
      <w:b/>
      <w:kern w:val="2"/>
      <w:sz w:val="30"/>
      <w:szCs w:val="28"/>
    </w:rPr>
  </w:style>
  <w:style w:type="paragraph" w:customStyle="1" w:styleId="46">
    <w:name w:val="二级目录"/>
    <w:next w:val="1"/>
    <w:link w:val="45"/>
    <w:qFormat/>
    <w:uiPriority w:val="0"/>
    <w:pPr>
      <w:tabs>
        <w:tab w:val="left" w:pos="720"/>
      </w:tabs>
      <w:ind w:left="420" w:hanging="420"/>
      <w:outlineLvl w:val="1"/>
    </w:pPr>
    <w:rPr>
      <w:rFonts w:ascii="Times New Roman" w:hAnsi="Times New Roman" w:eastAsia="Times New Roman" w:cs="Times New Roman"/>
      <w:b/>
      <w:kern w:val="2"/>
      <w:sz w:val="30"/>
      <w:szCs w:val="28"/>
      <w:lang w:val="en-US" w:eastAsia="zh-CN" w:bidi="ar-SA"/>
    </w:rPr>
  </w:style>
  <w:style w:type="paragraph" w:customStyle="1" w:styleId="47">
    <w:name w:val="_Style 14"/>
    <w:basedOn w:val="10"/>
    <w:qFormat/>
    <w:uiPriority w:val="0"/>
    <w:rPr>
      <w:rFonts w:ascii="Tahoma" w:hAnsi="Tahoma"/>
      <w:sz w:val="24"/>
      <w:szCs w:val="24"/>
    </w:rPr>
  </w:style>
  <w:style w:type="paragraph" w:customStyle="1" w:styleId="48">
    <w:name w:val="样式 宋体 小四 行距: 1.5 倍行距"/>
    <w:basedOn w:val="1"/>
    <w:qFormat/>
    <w:uiPriority w:val="0"/>
    <w:rPr>
      <w:rFonts w:ascii="宋体" w:hAnsi="宋体"/>
      <w:kern w:val="10"/>
      <w:sz w:val="24"/>
      <w:szCs w:val="20"/>
    </w:rPr>
  </w:style>
  <w:style w:type="paragraph" w:customStyle="1" w:styleId="49">
    <w:name w:val="默认段落字体 Para Char Char Char Char Char Char Char Char Char1 Char Char Char Char Char Char Char"/>
    <w:basedOn w:val="10"/>
    <w:qFormat/>
    <w:uiPriority w:val="0"/>
    <w:rPr>
      <w:rFonts w:ascii="Tahoma" w:hAnsi="Tahoma"/>
      <w:sz w:val="24"/>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标题三）"/>
    <w:basedOn w:val="1"/>
    <w:qFormat/>
    <w:uiPriority w:val="0"/>
    <w:pPr>
      <w:spacing w:line="360" w:lineRule="auto"/>
      <w:ind w:firstLine="200" w:firstLineChars="200"/>
    </w:pPr>
    <w:rPr>
      <w:sz w:val="24"/>
      <w:szCs w:val="24"/>
    </w:rPr>
  </w:style>
  <w:style w:type="paragraph" w:customStyle="1" w:styleId="52">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5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8"/>
      <w:szCs w:val="28"/>
      <w:u w:val="single"/>
    </w:rPr>
  </w:style>
  <w:style w:type="paragraph" w:customStyle="1" w:styleId="54">
    <w:name w:val="Char"/>
    <w:basedOn w:val="1"/>
    <w:qFormat/>
    <w:uiPriority w:val="0"/>
    <w:pPr>
      <w:tabs>
        <w:tab w:val="left" w:pos="360"/>
      </w:tabs>
      <w:ind w:firstLine="200" w:firstLineChars="200"/>
    </w:pPr>
    <w:rPr>
      <w:sz w:val="28"/>
      <w:szCs w:val="30"/>
    </w:r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Char Char2 Char Char"/>
    <w:basedOn w:val="10"/>
    <w:qFormat/>
    <w:uiPriority w:val="0"/>
    <w:pPr>
      <w:spacing w:line="436" w:lineRule="exact"/>
      <w:ind w:firstLine="200" w:firstLineChars="200"/>
    </w:pPr>
    <w:rPr>
      <w:rFonts w:ascii="Tahoma" w:hAnsi="Tahoma"/>
      <w:sz w:val="24"/>
      <w:szCs w:val="20"/>
    </w:rPr>
  </w:style>
  <w:style w:type="paragraph" w:customStyle="1" w:styleId="57">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标题3"/>
    <w:basedOn w:val="1"/>
    <w:next w:val="1"/>
    <w:qFormat/>
    <w:uiPriority w:val="0"/>
    <w:pPr>
      <w:autoSpaceDE w:val="0"/>
      <w:autoSpaceDN w:val="0"/>
      <w:snapToGrid w:val="0"/>
      <w:spacing w:line="590" w:lineRule="atLeast"/>
      <w:ind w:firstLine="624" w:firstLineChars="200"/>
    </w:pPr>
    <w:rPr>
      <w:rFonts w:ascii="方正黑体_GBK" w:eastAsia="方正黑体_GBK"/>
      <w:snapToGrid w:val="0"/>
      <w:kern w:val="0"/>
      <w:sz w:val="32"/>
      <w:szCs w:val="32"/>
    </w:rPr>
  </w:style>
  <w:style w:type="paragraph" w:customStyle="1" w:styleId="59">
    <w:name w:val="表格2"/>
    <w:basedOn w:val="1"/>
    <w:qFormat/>
    <w:uiPriority w:val="0"/>
    <w:pPr>
      <w:adjustRightInd w:val="0"/>
      <w:snapToGrid w:val="0"/>
      <w:spacing w:line="360" w:lineRule="auto"/>
      <w:ind w:firstLine="200" w:firstLineChars="200"/>
      <w:jc w:val="left"/>
    </w:pPr>
    <w:rPr>
      <w:rFonts w:ascii="Museo Sans For Dell" w:hAnsi="Museo Sans For Dell"/>
      <w:bCs/>
    </w:rPr>
  </w:style>
  <w:style w:type="paragraph" w:customStyle="1" w:styleId="60">
    <w:name w:val="纯文本1"/>
    <w:basedOn w:val="1"/>
    <w:qFormat/>
    <w:uiPriority w:val="0"/>
    <w:rPr>
      <w:rFonts w:ascii="宋体" w:hAnsi="Courier New" w:cs="Courier New"/>
      <w:sz w:val="24"/>
    </w:rPr>
  </w:style>
  <w:style w:type="paragraph" w:customStyle="1" w:styleId="6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2">
    <w:name w:val="正文 样式"/>
    <w:basedOn w:val="1"/>
    <w:qFormat/>
    <w:uiPriority w:val="0"/>
    <w:pPr>
      <w:spacing w:line="360" w:lineRule="auto"/>
      <w:ind w:firstLine="480" w:firstLineChars="200"/>
    </w:pPr>
    <w:rPr>
      <w:sz w:val="24"/>
      <w:szCs w:val="24"/>
    </w:rPr>
  </w:style>
  <w:style w:type="paragraph" w:styleId="63">
    <w:name w:val="List Paragraph"/>
    <w:basedOn w:val="1"/>
    <w:link w:val="68"/>
    <w:qFormat/>
    <w:uiPriority w:val="0"/>
    <w:pPr>
      <w:ind w:firstLine="420" w:firstLineChars="200"/>
    </w:pPr>
    <w:rPr>
      <w:rFonts w:ascii="Calibri" w:hAnsi="Calibri"/>
      <w:szCs w:val="22"/>
    </w:rPr>
  </w:style>
  <w:style w:type="paragraph" w:customStyle="1" w:styleId="64">
    <w:name w:val="纯文本 New"/>
    <w:basedOn w:val="50"/>
    <w:qFormat/>
    <w:uiPriority w:val="0"/>
    <w:rPr>
      <w:rFonts w:ascii="宋体" w:hAnsi="Courier New" w:cs="Courier New"/>
    </w:rPr>
  </w:style>
  <w:style w:type="paragraph" w:customStyle="1" w:styleId="65">
    <w:name w:val="表格文字"/>
    <w:basedOn w:val="41"/>
    <w:qFormat/>
    <w:uiPriority w:val="0"/>
    <w:rPr>
      <w:b w:val="0"/>
    </w:rPr>
  </w:style>
  <w:style w:type="paragraph" w:customStyle="1" w:styleId="66">
    <w:name w:val="纯文本11"/>
    <w:basedOn w:val="1"/>
    <w:qFormat/>
    <w:uiPriority w:val="0"/>
    <w:rPr>
      <w:rFonts w:ascii="宋体" w:hAnsi="Courier New" w:cs="Courier New"/>
      <w:sz w:val="24"/>
    </w:rPr>
  </w:style>
  <w:style w:type="paragraph" w:customStyle="1" w:styleId="67">
    <w:name w:val="Pa2"/>
    <w:basedOn w:val="1"/>
    <w:next w:val="1"/>
    <w:qFormat/>
    <w:uiPriority w:val="0"/>
    <w:pPr>
      <w:autoSpaceDE w:val="0"/>
      <w:autoSpaceDN w:val="0"/>
      <w:adjustRightInd w:val="0"/>
      <w:jc w:val="left"/>
    </w:pPr>
    <w:rPr>
      <w:rFonts w:ascii="黑体" w:eastAsia="黑体"/>
      <w:kern w:val="0"/>
      <w:sz w:val="24"/>
      <w:szCs w:val="24"/>
    </w:rPr>
  </w:style>
  <w:style w:type="character" w:customStyle="1" w:styleId="68">
    <w:name w:val="列出段落 Char"/>
    <w:link w:val="63"/>
    <w:qFormat/>
    <w:locked/>
    <w:uiPriority w:val="0"/>
    <w:rPr>
      <w:rFonts w:ascii="Calibri" w:hAnsi="Calibri"/>
      <w:kern w:val="2"/>
      <w:sz w:val="21"/>
      <w:szCs w:val="22"/>
    </w:rPr>
  </w:style>
  <w:style w:type="paragraph" w:customStyle="1" w:styleId="69">
    <w:name w:val="Char1"/>
    <w:basedOn w:val="10"/>
    <w:qFormat/>
    <w:uiPriority w:val="0"/>
    <w:rPr>
      <w:rFonts w:ascii="Tahoma" w:hAnsi="Tahoma"/>
      <w:sz w:val="24"/>
      <w:szCs w:val="24"/>
    </w:rPr>
  </w:style>
  <w:style w:type="character" w:customStyle="1" w:styleId="70">
    <w:name w:val="建设方案正文 Char"/>
    <w:link w:val="71"/>
    <w:qFormat/>
    <w:uiPriority w:val="0"/>
    <w:rPr>
      <w:rFonts w:ascii="仿宋_GB2312" w:eastAsia="仿宋_GB2312"/>
      <w:color w:val="000000"/>
      <w:sz w:val="24"/>
      <w:szCs w:val="24"/>
    </w:rPr>
  </w:style>
  <w:style w:type="paragraph" w:customStyle="1" w:styleId="71">
    <w:name w:val="建设方案正文"/>
    <w:basedOn w:val="1"/>
    <w:link w:val="70"/>
    <w:qFormat/>
    <w:uiPriority w:val="0"/>
    <w:pPr>
      <w:spacing w:line="360" w:lineRule="auto"/>
      <w:ind w:firstLine="497" w:firstLineChars="200"/>
    </w:pPr>
    <w:rPr>
      <w:rFonts w:ascii="仿宋_GB2312" w:eastAsia="仿宋_GB2312"/>
      <w:color w:val="000000"/>
      <w:kern w:val="0"/>
      <w:sz w:val="24"/>
      <w:szCs w:val="24"/>
    </w:rPr>
  </w:style>
  <w:style w:type="character" w:customStyle="1" w:styleId="72">
    <w:name w:val="列出段落 字符"/>
    <w:qFormat/>
    <w:uiPriority w:val="0"/>
    <w:rPr>
      <w:rFonts w:ascii="Calibri" w:hAnsi="Calibri" w:eastAsia="宋体"/>
      <w:sz w:val="24"/>
      <w:szCs w:val="24"/>
      <w:lang w:eastAsia="en-US" w:bidi="en-US"/>
    </w:rPr>
  </w:style>
  <w:style w:type="paragraph" w:customStyle="1" w:styleId="73">
    <w:name w:val="首行缩进:  0.74 厘米 行距: 多倍行距 1.3 字行"/>
    <w:basedOn w:val="1"/>
    <w:qFormat/>
    <w:uiPriority w:val="0"/>
    <w:pPr>
      <w:spacing w:line="312" w:lineRule="auto"/>
      <w:ind w:firstLine="420"/>
    </w:pPr>
    <w:rPr>
      <w:rFonts w:ascii="Calibri" w:hAnsi="Calibri" w:cs="宋体"/>
      <w:szCs w:val="20"/>
    </w:rPr>
  </w:style>
  <w:style w:type="paragraph" w:customStyle="1" w:styleId="74">
    <w:name w:val="二级条标题"/>
    <w:basedOn w:val="1"/>
    <w:next w:val="1"/>
    <w:qFormat/>
    <w:uiPriority w:val="0"/>
    <w:pPr>
      <w:widowControl/>
      <w:tabs>
        <w:tab w:val="left" w:pos="1265"/>
      </w:tabs>
      <w:ind w:left="1265" w:hanging="420"/>
      <w:outlineLvl w:val="3"/>
    </w:pPr>
    <w:rPr>
      <w:rFonts w:ascii="黑体" w:eastAsia="黑体"/>
      <w:kern w:val="0"/>
      <w:szCs w:val="20"/>
    </w:rPr>
  </w:style>
  <w:style w:type="paragraph" w:customStyle="1" w:styleId="75">
    <w:name w:val="样式 样式1 + 左侧:  0.67 字符"/>
    <w:basedOn w:val="1"/>
    <w:qFormat/>
    <w:uiPriority w:val="0"/>
    <w:pPr>
      <w:suppressAutoHyphens/>
      <w:spacing w:line="360" w:lineRule="auto"/>
      <w:ind w:left="141" w:firstLine="566"/>
    </w:pPr>
    <w:rPr>
      <w:rFonts w:ascii="宋体" w:hAnsi="宋体" w:cs="宋体"/>
      <w:kern w:val="1"/>
      <w:sz w:val="24"/>
      <w:szCs w:val="20"/>
      <w:lang w:eastAsia="ar-SA"/>
    </w:rPr>
  </w:style>
  <w:style w:type="paragraph" w:customStyle="1" w:styleId="76">
    <w:name w:val="List Paragraph1"/>
    <w:basedOn w:val="1"/>
    <w:qFormat/>
    <w:uiPriority w:val="99"/>
    <w:pPr>
      <w:ind w:firstLine="420" w:firstLineChars="200"/>
    </w:pPr>
    <w:rPr>
      <w:rFonts w:ascii="Calibri" w:hAnsi="Calibri" w:cs="Calibri"/>
    </w:rPr>
  </w:style>
  <w:style w:type="paragraph" w:customStyle="1" w:styleId="7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78">
    <w:name w:val="font21"/>
    <w:qFormat/>
    <w:uiPriority w:val="0"/>
    <w:rPr>
      <w:rFonts w:hint="eastAsia" w:ascii="宋体" w:hAnsi="宋体" w:eastAsia="宋体" w:cs="宋体"/>
      <w:color w:val="000000"/>
      <w:sz w:val="24"/>
      <w:szCs w:val="24"/>
      <w:u w:val="none"/>
    </w:rPr>
  </w:style>
  <w:style w:type="character" w:customStyle="1" w:styleId="79">
    <w:name w:val="font11"/>
    <w:qFormat/>
    <w:uiPriority w:val="0"/>
    <w:rPr>
      <w:rFonts w:hint="default" w:ascii="Times New Roman" w:hAnsi="Times New Roman" w:cs="Times New Roman"/>
      <w:color w:val="000000"/>
      <w:sz w:val="24"/>
      <w:szCs w:val="24"/>
      <w:u w:val="none"/>
    </w:rPr>
  </w:style>
  <w:style w:type="character" w:customStyle="1" w:styleId="80">
    <w:name w:val="纯文本 Char1"/>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DE77D-F2B6-42D3-A851-3F9AC9FF90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2871</Words>
  <Characters>16365</Characters>
  <Lines>136</Lines>
  <Paragraphs>38</Paragraphs>
  <TotalTime>1</TotalTime>
  <ScaleCrop>false</ScaleCrop>
  <LinksUpToDate>false</LinksUpToDate>
  <CharactersWithSpaces>19198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2018-10-24T02:29:00Z</dcterms:created>
  <dc:creator>USER</dc:creator>
  <cp:lastModifiedBy>njcit</cp:lastModifiedBy>
  <cp:lastPrinted>2013-11-08T08:54:00Z</cp:lastPrinted>
  <dcterms:modified xsi:type="dcterms:W3CDTF">2018-11-01T06:41:47Z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